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Lingayen, Pangasinan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Office of the Campus Executive Director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Lingayen Campus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ADVISORY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No.: 15, s.2024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February 19, 2024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To: </w:t>
      </w:r>
      <w:r w:rsidDel="00000000" w:rsidR="00000000" w:rsidRPr="00000000">
        <w:rPr>
          <w:b w:val="1"/>
          <w:rtl w:val="0"/>
        </w:rPr>
        <w:t xml:space="preserve">COLLEGE DEANS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CHAIRPERSONS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 CANCELLATION OF CLASSES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 Taking into consideration the safety and security of the students, faculty, and personnel, classes in the Campus are hereby suspended from 1:00 PM onwards today, February 19.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 Faculty members may conduct synchronous or assign asynchronous activities to their students.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 This Office reminds everyone to be vigilant in the face of threats against government agencies.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 The University and Campus officials in-charge of safety and security services are currently assessing the situation.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 Everyone will be update to the development of the said issue.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 For the information and guidance of everyone.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ABELARDO S. ABALOS, JR., DBA.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Officer-In-Charge, Office of the Campus Executive Director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