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COLLEGE MEMORANDUM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No.: 1, s. 2025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31 March 2025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CBPA FACULTY MEMBERS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DESIGNATION OF THE OFFICERS-IN-CHARGE OF THE COLLEGE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To ensure continuous supervision of College activities, the following faculty members 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hereby designated as Officers-in-Charge if the undersigned is on official travel or on personal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leave on the following period starting April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Days of the Month</w:t>
        <w:tab/>
        <w:t xml:space="preserve">Faculty Members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1-5</w:t>
        <w:tab/>
        <w:t xml:space="preserve">Mr. Lemuel M. Ventayen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6-10</w:t>
        <w:tab/>
        <w:t xml:space="preserve">Mrs. Zshyna Mae V. Ahmed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11-15</w:t>
        <w:tab/>
        <w:t xml:space="preserve">Dr. Magnimydel A. Fernandez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16-20</w:t>
        <w:tab/>
        <w:t xml:space="preserve">Mr. Jandy Z. Cacapit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21-25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26-31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If the faculty member is on official leave, official travel, or personal leave during their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scheduled period as OIC, the faculty member designated for the immediate next five days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shall serve as OIC instead.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As OIC of the College, the designated faculty member,s responsible for: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disseminating all urgent memoranda/advisories;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attending to university/campus meetings;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monitoring of reports to be accomplished;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signing of Authority to Travel (local travels);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e. informing the College Dean on important and urgent matters;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 monitoring daly activities in the College.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OICs are further requested to submit a narrative report to the Office on the activities, issues,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concerns in the College for the said period.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For the compliance of all concerned and for the information of everyone.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FRANK A. PADLAN, DBA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College Dean CBPA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