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Lingayen,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MEMORANDUM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2,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02 April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SHIFT TO SYNCHRONOUS ONLINE MODALITY FOR LECTURE CLASSES 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31 MARCH TO 4 APRIL 2025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1. Due to the expected severe heat index caused by the summer season, this College of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Business and Public Administration will adopt a synchronous online modality for lecture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classes from 31 March to 4 April 2025, including PE and NSTP.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2. All are informed that laboratory classes will still be conducted face-to-face. For this week,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Thesis consultation, defense, library work, and approved activities for student organizations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can be conducted onsite.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3. The College Dean and the Department Chairs of Business and Public Administration will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monitor the situation this week to determine the possible learning modality for the succeeding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weeks.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4. Regular reporting for teachers, personnel, and student assistants will be observed. This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memorandum does not affect the internship of students in their host training establishments of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schools.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5. Department Chairpersons are hereby directed to monitor the conduct of online lecture classes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strictly. Monitoring reports shall be submitted on Friday, 4 April 2025.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6. All are reminded to take extra precautions in dealing with the searing heat expected this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week.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7. For the information and guidance of all.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College Dean CBPA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