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Lingayen, Campus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Lingayen Pangasinan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OFFICE OF THE COLLEGE DEAN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College of Business and Public Administration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COLLEGE MEMORANDUM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No.: 4, s. 2025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Date: 23 May 2025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To: CBPA FACULTY MEMBERS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Subject: CPD TRAINING WORKSHOP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The Office of the Coordinator for Special Projects and CPD will be conducting a 2-Day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Training-Workshop on May 28-29, 2025, to be held at Audio-Visual Room (AVR) entitled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"Designing and Contextualizing OBE Instructional Materials in Higher Education: 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training -workshop".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It aims to enhance faculty competences and promote best practices in teaching, learning, 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research.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The College Deans are advised to identify and endorse faculty members who will attend the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said training.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Five (5) slots are allotted for College of Business and Public Administration.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The undersigned do hereby endorse the following faculty members to attend the said training: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a. David, Cliff Ervin F. (BSBA)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b. Pastor, Cherish Kay Pastor L. (BSBA)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c. Viado, Gie Anne D. (BSBA)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d. Miranda, John Cyrl A. (BPA))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e. Quimson, Pedro Junjun S. (BPA)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The identified faculty members are advised to refer to the Office Advisory No. 2 S. 2025 of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Office of the Coordinator for Special Projects and CPD for more detailed instructions.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Your attendance and participation are enjoined and highly appreciated.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FRANK A. PADLAN, DBA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College Dean, CBPA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