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Office of the University President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Memorandum Order No. 034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04,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To : </w:t>
      </w:r>
      <w:r w:rsidDel="00000000" w:rsidR="00000000" w:rsidRPr="00000000">
        <w:rPr>
          <w:b w:val="1"/>
          <w:rtl w:val="0"/>
        </w:rPr>
        <w:t xml:space="preserve">VICE PRESIDENTS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EXECUTIVE DIRECTORS and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 and SAS EXECUTIVE DIRECTORS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OFFICIALS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 EMPLOYEES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 STUDENTS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Subject : </w:t>
      </w:r>
      <w:r w:rsidDel="00000000" w:rsidR="00000000" w:rsidRPr="00000000">
        <w:rPr>
          <w:b w:val="1"/>
          <w:rtl w:val="0"/>
        </w:rPr>
        <w:t xml:space="preserve">IMPLEMENTATION OF HOME-BASED SYNCHRONOUS ONLINE CLASSES ON APRIL 8 and 11 to 13, 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minimize health risks and considering the detrimental effects brought about by the prevailing high heat index ranging from 36°C to 42°C based on the forecast in the Province of Pangasinan, PSU shall implement home-based synchronous online classes on April 8 and 11 to 13, 2024.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following are the guidelines for the implementation of the short-term shift to synchronous online modality: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 The short-term shift shall be implemented from April 8 and 11 to 13, 2024 only. April 9 and 10 were declared as national non-working holidays.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 All subjects shall be delivered using the synchronous online modality. All laboratory activities and research activities shall be done after the mentioned week; however, the faculty members shall provide synchronous or asynchronous activities aligned to the intended course and learning outcomes mentioned in the course syllabus.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 Related learning experiences, student internship, and practice teaching are NOT covered in the short-term shift since they will be completing the required hours for the subject. However, in cases where the partner Host Training Establishments (HTEs) have integrated remote work modalities including synchronous/asynchronous options in the internship program, the equivalent hours shall be included in reckoning the total number of hours.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 Faculty shall work on a work-from-home arrangement. However, in exigency of service, faculty may be required to report onsite to work on accreditation or assessment-related responsibilities.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 All faculty with designations shall report onsite during the implementation of the short-term shift to synchronous online classes.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 The department chairperson and college dean shall monitor their respective faculty. The college dean shall submit the monitoring reports to the office of the Campus Executive Director every day.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 Non-teaching personnel shall report onsite during the synchronous online classes.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 The CEDs and EDs shall inform all relevant stakeholders that might be affected by this implementation.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information and guidance.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Digitally signed 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ELBERT MANANGAN GALAS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04/07/2024 13:33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ELBERT M. GALAS, DIT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University President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