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Pangasinan State University</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OFFICE ADVISORY No. 5</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Series 2025</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rPr>
          <w:b w:val="1"/>
          <w:sz w:val="24"/>
          <w:szCs w:val="24"/>
        </w:rPr>
      </w:pPr>
      <w:r w:rsidDel="00000000" w:rsidR="00000000" w:rsidRPr="00000000">
        <w:rPr>
          <w:sz w:val="24"/>
          <w:szCs w:val="24"/>
          <w:rtl w:val="0"/>
        </w:rPr>
        <w:t xml:space="preserve">Date: </w:t>
      </w:r>
      <w:r w:rsidDel="00000000" w:rsidR="00000000" w:rsidRPr="00000000">
        <w:rPr>
          <w:b w:val="1"/>
          <w:sz w:val="24"/>
          <w:szCs w:val="24"/>
          <w:rtl w:val="0"/>
        </w:rPr>
        <w:t xml:space="preserve">February 24, 2025</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b w:val="1"/>
          <w:sz w:val="24"/>
          <w:szCs w:val="24"/>
        </w:rPr>
      </w:pPr>
      <w:r w:rsidDel="00000000" w:rsidR="00000000" w:rsidRPr="00000000">
        <w:rPr>
          <w:sz w:val="24"/>
          <w:szCs w:val="24"/>
          <w:rtl w:val="0"/>
        </w:rPr>
        <w:t xml:space="preserve">To: </w:t>
      </w:r>
      <w:r w:rsidDel="00000000" w:rsidR="00000000" w:rsidRPr="00000000">
        <w:rPr>
          <w:b w:val="1"/>
          <w:sz w:val="24"/>
          <w:szCs w:val="24"/>
          <w:rtl w:val="0"/>
        </w:rPr>
        <w:t xml:space="preserve">DEPARTMENT CHAIRPERSONS</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CTE FACULTY MEMBERS</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b w:val="1"/>
          <w:sz w:val="24"/>
          <w:szCs w:val="24"/>
        </w:rPr>
      </w:pPr>
      <w:r w:rsidDel="00000000" w:rsidR="00000000" w:rsidRPr="00000000">
        <w:rPr>
          <w:sz w:val="24"/>
          <w:szCs w:val="24"/>
          <w:rtl w:val="0"/>
        </w:rPr>
        <w:t xml:space="preserve">Subject: </w:t>
      </w:r>
      <w:r w:rsidDel="00000000" w:rsidR="00000000" w:rsidRPr="00000000">
        <w:rPr>
          <w:b w:val="1"/>
          <w:sz w:val="24"/>
          <w:szCs w:val="24"/>
          <w:rtl w:val="0"/>
        </w:rPr>
        <w:t xml:space="preserve">Schedule Regarding Facilitating the Weekly Flag Raising and Flag Lowering Ceremony</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p>
    <w:p w:rsidR="00000000" w:rsidDel="00000000" w:rsidP="00000000" w:rsidRDefault="00000000" w:rsidRPr="00000000" w14:paraId="0000000D">
      <w:pPr>
        <w:rPr>
          <w:sz w:val="24"/>
          <w:szCs w:val="24"/>
        </w:rPr>
      </w:pPr>
      <w:r w:rsidDel="00000000" w:rsidR="00000000" w:rsidRPr="00000000">
        <w:rPr>
          <w:sz w:val="24"/>
          <w:szCs w:val="24"/>
          <w:rtl w:val="0"/>
        </w:rPr>
        <w:t xml:space="preserve">1. Pursuant to Section 18 of RA No. 8491 and HRMDO Advisory No. 39, s. 2024 dated June 5, 2024, the undersigned encourages the CTE faculty members to consistently attend the Flag Raising and Flag Lowering Ceremony.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2. Relative to this, the CTE is scheduled to lead the ceremony for the month of March 2025.</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3. Kindly refer to the department's schedule below to ensure the prompt, smooth, and orderly conduct of the ceremony.</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Schedule for Flag Raising &amp; Flag Lowering Ceremony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Department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1st week March 3 (with thanksgiving mass)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TVLE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2nd week March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Languages Education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3rd week March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Social Studies Education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4th week March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Professional Education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5th week March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Science Education </w:t>
            </w:r>
          </w:p>
        </w:tc>
      </w:tr>
    </w:tbl>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4. The department chairpersons will take charge in assigning the faculty members who will facilitate the ceremony on the identified schedule.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5. Flag-raising ceremony will be held at the Dr. Telesforo N. Boquiren Convention Hall on the 1st Monday of the month and the Monthly Thanksgiving Mass will follow. </w:t>
      </w:r>
    </w:p>
    <w:p w:rsidR="00000000" w:rsidDel="00000000" w:rsidP="00000000" w:rsidRDefault="00000000" w:rsidRPr="00000000" w14:paraId="00000025">
      <w:pPr>
        <w:rPr>
          <w:sz w:val="24"/>
          <w:szCs w:val="24"/>
        </w:rPr>
      </w:pPr>
      <w:r w:rsidDel="00000000" w:rsidR="00000000" w:rsidRPr="00000000">
        <w:rPr>
          <w:sz w:val="24"/>
          <w:szCs w:val="24"/>
          <w:rtl w:val="0"/>
        </w:rPr>
        <w:t xml:space="preserve">6. Further, the college will sponsor the Monthly Thanksgiving Mass, a separate list of department’s sponsorship and assigned tasks will be send through the official Group Chat account.</w:t>
      </w:r>
    </w:p>
    <w:p w:rsidR="00000000" w:rsidDel="00000000" w:rsidP="00000000" w:rsidRDefault="00000000" w:rsidRPr="00000000" w14:paraId="00000026">
      <w:pPr>
        <w:rPr>
          <w:sz w:val="24"/>
          <w:szCs w:val="24"/>
        </w:rPr>
      </w:pPr>
      <w:r w:rsidDel="00000000" w:rsidR="00000000" w:rsidRPr="00000000">
        <w:rPr>
          <w:sz w:val="24"/>
          <w:szCs w:val="24"/>
          <w:rtl w:val="0"/>
        </w:rPr>
        <w:t xml:space="preserve">7. Lastly, ensure that all CTE (1st to 3rd year) students will attend the ceremony.</w:t>
      </w:r>
    </w:p>
    <w:p w:rsidR="00000000" w:rsidDel="00000000" w:rsidP="00000000" w:rsidRDefault="00000000" w:rsidRPr="00000000" w14:paraId="00000027">
      <w:pPr>
        <w:rPr>
          <w:sz w:val="24"/>
          <w:szCs w:val="24"/>
        </w:rPr>
      </w:pPr>
      <w:r w:rsidDel="00000000" w:rsidR="00000000" w:rsidRPr="00000000">
        <w:rPr>
          <w:sz w:val="24"/>
          <w:szCs w:val="24"/>
          <w:rtl w:val="0"/>
        </w:rPr>
        <w:t xml:space="preserve">8. Your usual support and cooperation is highly appreciated.</w:t>
      </w:r>
    </w:p>
    <w:p w:rsidR="00000000" w:rsidDel="00000000" w:rsidP="00000000" w:rsidRDefault="00000000" w:rsidRPr="00000000" w14:paraId="00000028">
      <w:pPr>
        <w:rPr>
          <w:sz w:val="24"/>
          <w:szCs w:val="24"/>
        </w:rPr>
      </w:pPr>
      <w:r w:rsidDel="00000000" w:rsidR="00000000" w:rsidRPr="00000000">
        <w:rPr>
          <w:sz w:val="24"/>
          <w:szCs w:val="24"/>
          <w:rtl w:val="0"/>
        </w:rPr>
        <w:t xml:space="preserve"> </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RANDY F. SORIANO, PhD</w:t>
      </w:r>
    </w:p>
    <w:p w:rsidR="00000000" w:rsidDel="00000000" w:rsidP="00000000" w:rsidRDefault="00000000" w:rsidRPr="00000000" w14:paraId="0000002A">
      <w:pPr>
        <w:rPr>
          <w:sz w:val="24"/>
          <w:szCs w:val="24"/>
        </w:rPr>
      </w:pPr>
      <w:r w:rsidDel="00000000" w:rsidR="00000000" w:rsidRPr="00000000">
        <w:rPr>
          <w:sz w:val="24"/>
          <w:szCs w:val="24"/>
          <w:rtl w:val="0"/>
        </w:rPr>
        <w:t xml:space="preserve">Dean, College of Teacher Education</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Approved</w:t>
      </w:r>
      <w:r w:rsidDel="00000000" w:rsidR="00000000" w:rsidRPr="00000000">
        <w:rPr>
          <w:sz w:val="24"/>
          <w:szCs w:val="24"/>
          <w:rtl w:val="0"/>
        </w:rPr>
        <w:t xml:space="preserve">:</w:t>
      </w:r>
    </w:p>
    <w:p w:rsidR="00000000" w:rsidDel="00000000" w:rsidP="00000000" w:rsidRDefault="00000000" w:rsidRPr="00000000" w14:paraId="0000002D">
      <w:pPr>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RENATO E. SALCEDO, PhD, CESE</w:t>
      </w:r>
    </w:p>
    <w:p w:rsidR="00000000" w:rsidDel="00000000" w:rsidP="00000000" w:rsidRDefault="00000000" w:rsidRPr="00000000" w14:paraId="0000002F">
      <w:pPr>
        <w:rPr>
          <w:sz w:val="24"/>
          <w:szCs w:val="24"/>
        </w:rPr>
      </w:pPr>
      <w:r w:rsidDel="00000000" w:rsidR="00000000" w:rsidRPr="00000000">
        <w:rPr>
          <w:sz w:val="24"/>
          <w:szCs w:val="24"/>
          <w:rtl w:val="0"/>
        </w:rPr>
        <w:t xml:space="preserve">Campus Executive Director</w:t>
      </w:r>
    </w:p>
    <w:p w:rsidR="00000000" w:rsidDel="00000000" w:rsidP="00000000" w:rsidRDefault="00000000" w:rsidRPr="00000000" w14:paraId="00000030">
      <w:pPr>
        <w:rPr>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