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Republic of the Philippines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Lingayen, Pangasinan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COLLEGE OF BUSINESS AND PUBLIC ADMINISTRATION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Pangasinan State University - Lingayen Campus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Office Advisory No. 2, Series of 2025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31 March 2025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To: CBPA Faculty Members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Subject: Assignment of officer-In-Charge (OIC) Department Chair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In the exigency of service, the following faculty members are hereby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designated as officers-in-charge (OIC) of the College according to the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schedule outlined below if the undersigned is on official travel or leave: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a. April 2025 Prof. LEMUEL M. VENTAYEN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b. May 2025 Prof. ZSHYNA MAE V. AHMED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As an OIC-Dean, you are responsible for the following: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a. Daily class monitoring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b. Monitoring of cleanliness and orderliness of rooms and other facilities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c. Attendance to consultations/meetings/ seminars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d. Dissemination of important and urgent information/advisories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e. Preparation and submission of urgent reports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f. Signing of Authority to travel (local) and leave application forms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(immediate and short term)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You are expected to update the Dean or Submit narrative reports upon his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return.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Your cooperation is highly expected.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Thank you so much.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FRANK A. PADLAN, DBA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Dean, College of Business and Public Administration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Noted by: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RENATO E. SALCEDO, PhD, CESE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Campus Executive Director, Lingayen Campus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