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Pangasinan State University</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Office of the College of Teacher Education</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Office Advisory No. 04</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Series 2025</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b w:val="1"/>
          <w:sz w:val="24"/>
          <w:szCs w:val="24"/>
        </w:rPr>
      </w:pPr>
      <w:r w:rsidDel="00000000" w:rsidR="00000000" w:rsidRPr="00000000">
        <w:rPr>
          <w:sz w:val="24"/>
          <w:szCs w:val="24"/>
          <w:rtl w:val="0"/>
        </w:rPr>
        <w:t xml:space="preserve">Date: </w:t>
      </w:r>
      <w:r w:rsidDel="00000000" w:rsidR="00000000" w:rsidRPr="00000000">
        <w:rPr>
          <w:b w:val="1"/>
          <w:sz w:val="24"/>
          <w:szCs w:val="24"/>
          <w:rtl w:val="0"/>
        </w:rPr>
        <w:t xml:space="preserve">February 13, 2025</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b w:val="1"/>
          <w:sz w:val="24"/>
          <w:szCs w:val="24"/>
        </w:rPr>
      </w:pPr>
      <w:r w:rsidDel="00000000" w:rsidR="00000000" w:rsidRPr="00000000">
        <w:rPr>
          <w:sz w:val="24"/>
          <w:szCs w:val="24"/>
          <w:rtl w:val="0"/>
        </w:rPr>
        <w:t xml:space="preserve">To: </w:t>
      </w:r>
      <w:r w:rsidDel="00000000" w:rsidR="00000000" w:rsidRPr="00000000">
        <w:rPr>
          <w:b w:val="1"/>
          <w:sz w:val="24"/>
          <w:szCs w:val="24"/>
          <w:rtl w:val="0"/>
        </w:rPr>
        <w:t xml:space="preserve">Department Chairpersons</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Teaching Internship Coordinator</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Faculty Members Concerned</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b w:val="1"/>
          <w:sz w:val="24"/>
          <w:szCs w:val="24"/>
        </w:rPr>
      </w:pPr>
      <w:r w:rsidDel="00000000" w:rsidR="00000000" w:rsidRPr="00000000">
        <w:rPr>
          <w:sz w:val="24"/>
          <w:szCs w:val="24"/>
          <w:rtl w:val="0"/>
        </w:rPr>
        <w:t xml:space="preserve">Subject: </w:t>
      </w:r>
      <w:r w:rsidDel="00000000" w:rsidR="00000000" w:rsidRPr="00000000">
        <w:rPr>
          <w:b w:val="1"/>
          <w:sz w:val="24"/>
          <w:szCs w:val="24"/>
          <w:rtl w:val="0"/>
        </w:rPr>
        <w:t xml:space="preserve">Conduct of Carl E. Balita Review Center National Aptitude and Normative Test for Educators (CBRC NANTE)</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 xml:space="preserve">1. In accordance with VPASS Office Advisory No. 024, s. 2025 dated February 7, 2025, Re: Participation in CBRC NANTE, the Carl E. Balita Review Center will conduct a National Aptitude and Normative Test for Educators (CBRC NANTE) to the BSED Fourth Year Students on February 15, 2025 (Saturday) at 8:00 am to 12:00 noon.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2. CBRC NANTE aims to evaluate the College of Teacher Education (CTE) and its students’ performance on institutional, provincial, regional, and national levels, as compared to the national norm.</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3. The Examination Content will be General Education: 100-item test for General Education and 100-item test for Professional Education. Both sets of questions are designed as board-sensitive items, constructed based on the PRC Test of Specifications (TOS), and subjected to necessary validity and reliability processes. The exam will be administered using Scantron sheets and an Optical Mark Reader similar to the PRC exam format. Further, data analytics on the college’s performance, compared to the national norm, will be provided.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4. Education Room 1 to 6 in the Grand Legacy building will be used as examination rooms.</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sz w:val="24"/>
          <w:szCs w:val="24"/>
          <w:rtl w:val="0"/>
        </w:rPr>
        <w:t xml:space="preserve">5. Further, the following faculty members will serve as NANTE proctors:</w:t>
      </w:r>
    </w:p>
    <w:p w:rsidR="00000000" w:rsidDel="00000000" w:rsidP="00000000" w:rsidRDefault="00000000" w:rsidRPr="00000000" w14:paraId="00000019">
      <w:pPr>
        <w:numPr>
          <w:ilvl w:val="0"/>
          <w:numId w:val="1"/>
        </w:numPr>
        <w:ind w:left="720" w:hanging="360"/>
        <w:rPr>
          <w:b w:val="1"/>
          <w:sz w:val="24"/>
          <w:szCs w:val="24"/>
          <w:u w:val="none"/>
        </w:rPr>
      </w:pPr>
      <w:r w:rsidDel="00000000" w:rsidR="00000000" w:rsidRPr="00000000">
        <w:rPr>
          <w:b w:val="1"/>
          <w:sz w:val="24"/>
          <w:szCs w:val="24"/>
          <w:rtl w:val="0"/>
        </w:rPr>
        <w:t xml:space="preserve">Mary Ann C. Soriano</w:t>
      </w:r>
    </w:p>
    <w:p w:rsidR="00000000" w:rsidDel="00000000" w:rsidP="00000000" w:rsidRDefault="00000000" w:rsidRPr="00000000" w14:paraId="0000001A">
      <w:pPr>
        <w:numPr>
          <w:ilvl w:val="0"/>
          <w:numId w:val="1"/>
        </w:numPr>
        <w:ind w:left="720" w:hanging="360"/>
        <w:rPr>
          <w:b w:val="1"/>
          <w:sz w:val="24"/>
          <w:szCs w:val="24"/>
          <w:u w:val="none"/>
        </w:rPr>
      </w:pPr>
      <w:r w:rsidDel="00000000" w:rsidR="00000000" w:rsidRPr="00000000">
        <w:rPr>
          <w:b w:val="1"/>
          <w:sz w:val="24"/>
          <w:szCs w:val="24"/>
          <w:rtl w:val="0"/>
        </w:rPr>
        <w:t xml:space="preserve">Lai M. Niella</w:t>
      </w:r>
    </w:p>
    <w:p w:rsidR="00000000" w:rsidDel="00000000" w:rsidP="00000000" w:rsidRDefault="00000000" w:rsidRPr="00000000" w14:paraId="0000001B">
      <w:pPr>
        <w:numPr>
          <w:ilvl w:val="0"/>
          <w:numId w:val="1"/>
        </w:numPr>
        <w:ind w:left="720" w:hanging="360"/>
        <w:rPr>
          <w:b w:val="1"/>
          <w:sz w:val="24"/>
          <w:szCs w:val="24"/>
          <w:u w:val="none"/>
        </w:rPr>
      </w:pPr>
      <w:r w:rsidDel="00000000" w:rsidR="00000000" w:rsidRPr="00000000">
        <w:rPr>
          <w:b w:val="1"/>
          <w:sz w:val="24"/>
          <w:szCs w:val="24"/>
          <w:rtl w:val="0"/>
        </w:rPr>
        <w:t xml:space="preserve">Violeta C. Manaoat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6. A post-conference with the undersigned, ProfEd Chairperson, and CBRC personnels will follow at 1:00-2:00pm.</w:t>
      </w:r>
    </w:p>
    <w:p w:rsidR="00000000" w:rsidDel="00000000" w:rsidP="00000000" w:rsidRDefault="00000000" w:rsidRPr="00000000" w14:paraId="0000001E">
      <w:pPr>
        <w:rPr>
          <w:sz w:val="24"/>
          <w:szCs w:val="24"/>
        </w:rPr>
      </w:pPr>
      <w:r w:rsidDel="00000000" w:rsidR="00000000" w:rsidRPr="00000000">
        <w:rPr>
          <w:sz w:val="24"/>
          <w:szCs w:val="24"/>
          <w:rtl w:val="0"/>
        </w:rPr>
        <w:t xml:space="preserve">7. Snacks and lunch will be served.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8. For the information and guidance of all concerned.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RANDY F. BORIANO, PhD</w:t>
      </w:r>
    </w:p>
    <w:p w:rsidR="00000000" w:rsidDel="00000000" w:rsidP="00000000" w:rsidRDefault="00000000" w:rsidRPr="00000000" w14:paraId="00000024">
      <w:pPr>
        <w:rPr>
          <w:sz w:val="24"/>
          <w:szCs w:val="24"/>
        </w:rPr>
      </w:pPr>
      <w:r w:rsidDel="00000000" w:rsidR="00000000" w:rsidRPr="00000000">
        <w:rPr>
          <w:sz w:val="24"/>
          <w:szCs w:val="24"/>
          <w:rtl w:val="0"/>
        </w:rPr>
        <w:t xml:space="preserve">Dean, College of Teacher Education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Noted and Approved:</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RENATO E. SALCEDO, PhD, CESE</w:t>
      </w:r>
    </w:p>
    <w:p w:rsidR="00000000" w:rsidDel="00000000" w:rsidP="00000000" w:rsidRDefault="00000000" w:rsidRPr="00000000" w14:paraId="00000029">
      <w:pPr>
        <w:rPr>
          <w:sz w:val="24"/>
          <w:szCs w:val="24"/>
        </w:rPr>
      </w:pPr>
      <w:r w:rsidDel="00000000" w:rsidR="00000000" w:rsidRPr="00000000">
        <w:rPr>
          <w:sz w:val="24"/>
          <w:szCs w:val="24"/>
          <w:rtl w:val="0"/>
        </w:rPr>
        <w:t xml:space="preserve">Campus Executive Director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