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 </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Pangasinan State University</w:t>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Office of the College of Teacher Education</w:t>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Office Advisory No. 09</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Series 2025</w:t>
      </w:r>
    </w:p>
    <w:p w:rsidR="00000000" w:rsidDel="00000000" w:rsidP="00000000" w:rsidRDefault="00000000" w:rsidRPr="00000000" w14:paraId="00000009">
      <w:pPr>
        <w:rPr>
          <w:sz w:val="24"/>
          <w:szCs w:val="24"/>
        </w:rPr>
      </w:pPr>
      <w:r w:rsidDel="00000000" w:rsidR="00000000" w:rsidRPr="00000000">
        <w:rPr>
          <w:sz w:val="24"/>
          <w:szCs w:val="24"/>
          <w:rtl w:val="0"/>
        </w:rPr>
        <w:t xml:space="preserve"> </w:t>
      </w:r>
    </w:p>
    <w:p w:rsidR="00000000" w:rsidDel="00000000" w:rsidP="00000000" w:rsidRDefault="00000000" w:rsidRPr="00000000" w14:paraId="0000000A">
      <w:pPr>
        <w:rPr>
          <w:b w:val="1"/>
          <w:sz w:val="24"/>
          <w:szCs w:val="24"/>
        </w:rPr>
      </w:pPr>
      <w:r w:rsidDel="00000000" w:rsidR="00000000" w:rsidRPr="00000000">
        <w:rPr>
          <w:sz w:val="24"/>
          <w:szCs w:val="24"/>
          <w:rtl w:val="0"/>
        </w:rPr>
        <w:t xml:space="preserve">Date: </w:t>
      </w:r>
      <w:r w:rsidDel="00000000" w:rsidR="00000000" w:rsidRPr="00000000">
        <w:rPr>
          <w:b w:val="1"/>
          <w:sz w:val="24"/>
          <w:szCs w:val="24"/>
          <w:rtl w:val="0"/>
        </w:rPr>
        <w:t xml:space="preserve">May 19, 2025</w:t>
      </w:r>
    </w:p>
    <w:p w:rsidR="00000000" w:rsidDel="00000000" w:rsidP="00000000" w:rsidRDefault="00000000" w:rsidRPr="00000000" w14:paraId="0000000B">
      <w:pPr>
        <w:rPr>
          <w:sz w:val="24"/>
          <w:szCs w:val="24"/>
        </w:rPr>
      </w:pPr>
      <w:r w:rsidDel="00000000" w:rsidR="00000000" w:rsidRPr="00000000">
        <w:rPr>
          <w:sz w:val="24"/>
          <w:szCs w:val="24"/>
          <w:rtl w:val="0"/>
        </w:rPr>
        <w:t xml:space="preserve"> </w:t>
      </w:r>
    </w:p>
    <w:p w:rsidR="00000000" w:rsidDel="00000000" w:rsidP="00000000" w:rsidRDefault="00000000" w:rsidRPr="00000000" w14:paraId="0000000C">
      <w:pPr>
        <w:rPr>
          <w:b w:val="1"/>
          <w:sz w:val="24"/>
          <w:szCs w:val="24"/>
        </w:rPr>
      </w:pPr>
      <w:r w:rsidDel="00000000" w:rsidR="00000000" w:rsidRPr="00000000">
        <w:rPr>
          <w:sz w:val="24"/>
          <w:szCs w:val="24"/>
          <w:rtl w:val="0"/>
        </w:rPr>
        <w:t xml:space="preserve">To: </w:t>
      </w:r>
      <w:r w:rsidDel="00000000" w:rsidR="00000000" w:rsidRPr="00000000">
        <w:rPr>
          <w:b w:val="1"/>
          <w:sz w:val="24"/>
          <w:szCs w:val="24"/>
          <w:rtl w:val="0"/>
        </w:rPr>
        <w:t xml:space="preserve">Department Chairpersons</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College Research Coordinator</w:t>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Faculty Researchers</w:t>
      </w:r>
    </w:p>
    <w:p w:rsidR="00000000" w:rsidDel="00000000" w:rsidP="00000000" w:rsidRDefault="00000000" w:rsidRPr="00000000" w14:paraId="0000000F">
      <w:pP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rPr>
          <w:b w:val="1"/>
          <w:sz w:val="24"/>
          <w:szCs w:val="24"/>
        </w:rPr>
      </w:pPr>
      <w:r w:rsidDel="00000000" w:rsidR="00000000" w:rsidRPr="00000000">
        <w:rPr>
          <w:sz w:val="24"/>
          <w:szCs w:val="24"/>
          <w:rtl w:val="0"/>
        </w:rPr>
        <w:t xml:space="preserve">Subject</w:t>
      </w:r>
      <w:r w:rsidDel="00000000" w:rsidR="00000000" w:rsidRPr="00000000">
        <w:rPr>
          <w:b w:val="1"/>
          <w:sz w:val="24"/>
          <w:szCs w:val="24"/>
          <w:rtl w:val="0"/>
        </w:rPr>
        <w:t xml:space="preserve">: Call for Research Proposals for College In-House Review</w:t>
      </w:r>
    </w:p>
    <w:p w:rsidR="00000000" w:rsidDel="00000000" w:rsidP="00000000" w:rsidRDefault="00000000" w:rsidRPr="00000000" w14:paraId="00000011">
      <w:pPr>
        <w:rPr>
          <w:sz w:val="24"/>
          <w:szCs w:val="24"/>
        </w:rPr>
      </w:pPr>
      <w:r w:rsidDel="00000000" w:rsidR="00000000" w:rsidRPr="00000000">
        <w:rPr>
          <w:sz w:val="24"/>
          <w:szCs w:val="24"/>
          <w:rtl w:val="0"/>
        </w:rPr>
        <w:t xml:space="preserve"> </w:t>
      </w:r>
    </w:p>
    <w:p w:rsidR="00000000" w:rsidDel="00000000" w:rsidP="00000000" w:rsidRDefault="00000000" w:rsidRPr="00000000" w14:paraId="00000012">
      <w:pPr>
        <w:rPr>
          <w:sz w:val="24"/>
          <w:szCs w:val="24"/>
        </w:rPr>
      </w:pPr>
      <w:r w:rsidDel="00000000" w:rsidR="00000000" w:rsidRPr="00000000">
        <w:rPr>
          <w:sz w:val="24"/>
          <w:szCs w:val="24"/>
          <w:rtl w:val="0"/>
        </w:rPr>
        <w:t xml:space="preserve">1. In response to the AACUP mandatory requirement for a Level IV Accreditation, the College will conduct a comprehensive in-house review of research proposals intended for submission at both the campus and university levels. The said activity is scheduled on June 11, 2025 (Wednesday) and will be conducted via hybrid platform.</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2. Only research proposals that receive approval during the in-house review will be eligible for endorsement to the campus- and university-level review committees.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3. The deadline for submission of the soft copy of research proposals for in-house review is on or before June 8, 2025.</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4. An external panel of reviewers will be invited to evaluate the proposals and provide expert feedback.</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5. Kindly refer to the attached university guidelines for detailed instructions and evaluation criteria.</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6. For the information and guidance of all concerned.</w:t>
      </w:r>
    </w:p>
    <w:p w:rsidR="00000000" w:rsidDel="00000000" w:rsidP="00000000" w:rsidRDefault="00000000" w:rsidRPr="00000000" w14:paraId="0000001D">
      <w:pPr>
        <w:rPr>
          <w:sz w:val="24"/>
          <w:szCs w:val="24"/>
        </w:rPr>
      </w:pPr>
      <w:r w:rsidDel="00000000" w:rsidR="00000000" w:rsidRPr="00000000">
        <w:rPr>
          <w:sz w:val="24"/>
          <w:szCs w:val="24"/>
          <w:rtl w:val="0"/>
        </w:rPr>
        <w:t xml:space="preserve"> </w:t>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RANDY F. BORIANO, PhD</w:t>
      </w:r>
    </w:p>
    <w:p w:rsidR="00000000" w:rsidDel="00000000" w:rsidP="00000000" w:rsidRDefault="00000000" w:rsidRPr="00000000" w14:paraId="0000001F">
      <w:pPr>
        <w:rPr>
          <w:sz w:val="24"/>
          <w:szCs w:val="24"/>
        </w:rPr>
      </w:pPr>
      <w:r w:rsidDel="00000000" w:rsidR="00000000" w:rsidRPr="00000000">
        <w:rPr>
          <w:sz w:val="24"/>
          <w:szCs w:val="24"/>
          <w:rtl w:val="0"/>
        </w:rPr>
        <w:t xml:space="preserve">Dean, College of Teacher Education</w:t>
      </w:r>
    </w:p>
    <w:p w:rsidR="00000000" w:rsidDel="00000000" w:rsidP="00000000" w:rsidRDefault="00000000" w:rsidRPr="00000000" w14:paraId="00000020">
      <w:pPr>
        <w:rPr>
          <w:sz w:val="24"/>
          <w:szCs w:val="24"/>
        </w:rPr>
      </w:pPr>
      <w:r w:rsidDel="00000000" w:rsidR="00000000" w:rsidRPr="00000000">
        <w:rPr>
          <w:sz w:val="24"/>
          <w:szCs w:val="24"/>
          <w:rtl w:val="0"/>
        </w:rPr>
        <w:t xml:space="preserve"> </w:t>
      </w:r>
    </w:p>
    <w:p w:rsidR="00000000" w:rsidDel="00000000" w:rsidP="00000000" w:rsidRDefault="00000000" w:rsidRPr="00000000" w14:paraId="00000021">
      <w:pPr>
        <w:rPr>
          <w:sz w:val="24"/>
          <w:szCs w:val="24"/>
        </w:rPr>
      </w:pPr>
      <w:r w:rsidDel="00000000" w:rsidR="00000000" w:rsidRPr="00000000">
        <w:rPr>
          <w:sz w:val="24"/>
          <w:szCs w:val="24"/>
          <w:rtl w:val="0"/>
        </w:rPr>
        <w:t xml:space="preserve">Approved:</w:t>
      </w:r>
    </w:p>
    <w:p w:rsidR="00000000" w:rsidDel="00000000" w:rsidP="00000000" w:rsidRDefault="00000000" w:rsidRPr="00000000" w14:paraId="00000022">
      <w:pPr>
        <w:rPr>
          <w:sz w:val="24"/>
          <w:szCs w:val="24"/>
        </w:rPr>
      </w:pPr>
      <w:r w:rsidDel="00000000" w:rsidR="00000000" w:rsidRPr="00000000">
        <w:rPr>
          <w:sz w:val="24"/>
          <w:szCs w:val="24"/>
          <w:rtl w:val="0"/>
        </w:rPr>
        <w:t xml:space="preserve"> </w:t>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RENATO E. SALCEDO, PhD, CESE</w:t>
      </w:r>
    </w:p>
    <w:p w:rsidR="00000000" w:rsidDel="00000000" w:rsidP="00000000" w:rsidRDefault="00000000" w:rsidRPr="00000000" w14:paraId="00000024">
      <w:pPr>
        <w:rPr>
          <w:sz w:val="24"/>
          <w:szCs w:val="24"/>
        </w:rPr>
      </w:pPr>
      <w:r w:rsidDel="00000000" w:rsidR="00000000" w:rsidRPr="00000000">
        <w:rPr>
          <w:sz w:val="24"/>
          <w:szCs w:val="24"/>
          <w:rtl w:val="0"/>
        </w:rPr>
        <w:t xml:space="preserve">Campus Executive Director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