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VICE PRESIDENT FOR QUALITY ASSURANCE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111, Series 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September 04, 2025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ALL CAMPUS EXECUTIVE DIRECTORS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Call for Entries - SDG Innovators' Initiatives Competition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 In line with our commitment to promote student engagement, innovation, and sustainable development, the Commission on Higher Education Regional Office I is pleased to announce the SDG Innovators' Initiatives Competition. Campuses are encouraged to actively disseminate this call and support student participation.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 The competition seeks student-led proposals that offer innovative, practical, and sustainable solutions to local and global challenges aligned with the United Nations Sustainable Development Goals (SDGs). Proposals may be research-based, technology-driven, community-centered, or policy-focused.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Eligibility Guidelines: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Proposals must be original, student-led, and not yet implemented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Submissions may be individual or team-based (3-5 members)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Entries must address one or more SDGs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All entries must comply with ethical standards and copyright/data privacy laws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Submission Details: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Use the official format: https://bit.ly/SDGInnovatorsInitiativesTemplate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Email subject line: Name of HEI - SDG Innovators' Initiatives Entry (e.g., SDG State University - SDG Innovators' Initiatives Entry)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Send entries to: izn.chedrol@ched.gov.ph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Deadline: September 8, 2025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 Campuses are urged to mobilize their student communities, faculty mentors, and relevant offices to support this initiative.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 Your usual support is highly appreciated.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(Signature)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CELESTE T. MERCADO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Vice President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