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LINGAYEN CAMPUS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Lingayen, Pangasinan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OFFICE OF THE COLLEGE DEAN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College of Business and Public Administration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COLLEGE MEMORANDUM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No.: 5, s. 2025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Date: 04 June 2025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To: CBPA FACULTY MEMBERS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Subject: REVISED SCHEDULE OF THE COLLEGE ACADEMIC COUNCIL MEETING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(AY 2024-2025)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The College Academic Council Meeting for Academic Year 2024-2025, initially scheduled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 Thursday, 05 June, from 09:00 to 11:00 AM at the CBPA Faculty Room and via Google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Meet, has been rescheduled.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In light of the Commission on Higher Education Regional Office I (CHED RO1) visit on 04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June, the departmental academic council meetings of the Bachelor of Science in Business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Administration (BSBA) and Bachelor of Public Administration (BPA) programs, both of which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are to precede the college-level meeting, have been moved to the morning of 05 June.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Accordingly, the College Academic Council Meeting will now be held on the same day at 2:00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PM, at the same venue and through the same online platform.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Your presence and active participation are respectfully enjoined and will be highly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appreciated.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Thank you very much.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FRANK A. PADLAN, DBA (Sgd.)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Dean, College of Business and Public Administration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