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STRATEGIC GOALS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SG1: Industry-Focused and Innovation-Based Student Learning and 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SG2: Responsive and Sustainable Research, Community Extension, and Innovative Programs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SG3: Effective and Efficient Governance and Financial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SG4: High-Performing and Engaged Human Resource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SG5: Strategic and Functional Internationalization Program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