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בקשה לצו הגנה — בית המשפט לענייני משפחה</w:t>
      </w:r>
    </w:p>
    <w:p>
      <w:r>
        <w:t xml:space="preserve">המבקשת: מורן רוזנטל. המשיב: נמרוד רוזנטל. ת"פ 4471-02-26.</w:t>
      </w:r>
    </w:p>
    <w:p>
      <w:r>
        <w:t xml:space="preserve">1. המבקשת ורוזנטל נשואים משנת 2014. ביום 18.7.2026 עם שחר הגיע המשיב לדירה בשכונת גני אביב ואיים עליה. שחר גולן השכן שמע את הצעקות.</w:t>
      </w:r>
    </w:p>
    <w:p>
      <w:r>
        <w:t xml:space="preserve">2. ד"ר נתנאל גולן בדק את המבקשת ומצא סימני חבלה. גולן המליץ על מעקב. גם גיל נבון מסר תצהיר תומך.</w:t>
      </w:r>
    </w:p>
    <w:p>
      <w:r>
        <w:t xml:space="preserve">3. הבן בגיל 8 היה בבית באותו ערב. גב' רויטל סבג ממשרד הרווחה דיווחה כי המבקשת פנתה ללשכה בעבר. אברה ברהנו מהמרכז הקהילתי מכיר את המשפחה.</w:t>
      </w:r>
    </w:p>
    <w:p>
      <w:r>
        <w:t xml:space="preserve">4. אלה בן-רביב הגישה חוות דעת. בן רביב קבעה כי יש סיכון ממשי. עומרי גן, שכן נוסף, אישר בכתב. פלוני שלישי סירב לחתום.</w:t>
      </w:r>
    </w:p>
    <w:p>
      <w:r>
        <w:t xml:space="preserve">5. לפי סעיף 2 לחוק, מתבקש בית המשפט ליתן צו האוסר על רוזנטל להתקרב. ברהנו וסבג יזומנו לעדות, וכך גם שחר.</w:t>
      </w:r>
    </w:p>
  </w:body>
</w:document>
</file>