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בבית המשפט לענייני משפחה בירושלים</w:t>
      </w:r>
    </w:p>
    <w:p>
      <w:r>
        <w:t xml:space="preserve">תלה"מ 12345-06-24</w:t>
      </w:r>
    </w:p>
    <w:p>
      <w:r>
        <w:t xml:space="preserve">התובעת סיון נבון, מרחוב התאנה 4, בית זית</w:t>
      </w:r>
    </w:p>
    <w:p>
      <w:r>
        <w:t xml:space="preserve">הנתבע צור אסולין, באמצעות ב"כ עו"ד יערה ליפשיץ</w:t>
      </w:r>
    </w:p>
    <w:p>
      <w:r>
        <w:t xml:space="preserve">1. התובעת והנתבע נישאו ביום 3.6.2026 ולהם שני ילדים. אריאל הורוביץ, אחיה של התובעת, נכח בדיון הקודם.</w:t>
      </w:r>
    </w:p>
    <w:p>
      <w:r>
        <w:t xml:space="preserve">2. נתנאל וייסמן, המומחה מטעם בית המשפט, קבע כי הילדים לומדים בבית ספר ניצני הגליל. ויסמן המליץ על מסגרת טיפולית.</w:t>
      </w:r>
    </w:p>
    <w:p>
      <w:r>
        <w:t xml:space="preserve">3. הפסיכולוגית נטליה פטרובה ציינה כי הורוביץ מהווה דמות תומכת. אריאל הצהיר כי יסייע ככל שיידרש.</w:t>
      </w:r>
    </w:p>
    <w:p>
      <w:r>
        <w:t xml:space="preserve">4. אסולין לא העביר מזונות, בניגוד לסעיף 7(ב) להסכם. פטרובה תמכה בעמדת התובעת.</w:t>
      </w:r>
    </w:p>
    <w:p>
      <w:r>
        <w:t xml:space="preserve">5. פלונית, שכנה, מסרה תצהיר. פלוני נוסף סירב להעיד. המוסד לביטוח לאומי אישר קצבה.</w:t>
      </w:r>
    </w:p>
    <w:p>
      <w:r>
        <w:t xml:space="preserve">6. ב"כ התובעת ליפשיץ מבקשת מבית המשפט הנכבד לקבל את התביעה. נבון תישא בהוצאות ככל שתידחה.</w:t>
      </w:r>
    </w:p>
  </w:body>
</w:document>
</file>