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תסקיר משרד הרווחה — לשכת הרווחה</w:t>
      </w:r>
    </w:p>
    <w:p>
      <w:r>
        <w:t xml:space="preserve">המבקשת אלה בן-רביב הגישה בקשה להסדרי שהות. מורן אביטן, האם, מתגוררת במבוא חורון עם עומרי. ינון אביתן, אחיה של האם, מתגורר בסמוך.</w:t>
      </w:r>
    </w:p>
    <w:p>
      <w:r>
        <w:t xml:space="preserve">אביטן ואביתן הם שני אנשים שונים, ויש להיזהר בניסוח. משפחת בוזגלו השכנים מסרו כי עומרי משחק אצלם אחר הצהריים.</w:t>
      </w:r>
    </w:p>
    <w:p>
      <w:r>
        <w:t xml:space="preserve">ויקט</w:t>
      </w:r>
      <w:r>
        <w:t xml:space="preserve">ור סמירנוב, האב, נפגש עם עומרי פעם בשבועיים. סמירנוב ביקש להרחיב את ההסדר. הפנייה לרויטל נעשתה ביום 22.1.2026.</w:t>
      </w:r>
    </w:p>
    <w:p>
      <w:r>
        <w:t xml:space="preserve">לפי סעיף 14 לחוק, המוסד לביטוח לאומי משלם קצבת ילדים לאם. בוזגלו דיווחו על מריבות קולניות. בן-רביב תעדכן את הלשכה.</w:t>
      </w:r>
    </w:p>
    <w:p>
      <w:r>
        <w:t xml:space="preserve">המלצה: הרחבה הדרגתית של ההסדר עם ויקטור, בליווי אביתן. עומרי בן שש וחצי.</w:t>
      </w:r>
    </w:p>
  </w:body>
</w:document>
</file>