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סעד — הסדרי שהות</w:t>
      </w:r>
    </w:p>
    <w:p>
      <w:r>
        <w:t xml:space="preserve">הקטין ניב, יליד 3.4.2017, בנם של טוהר בוסקילה ושל פלוני שאינו רשום. בוסקילה מבקש משמורת מלאה.</w:t>
      </w:r>
    </w:p>
    <w:p>
      <w:r>
        <w:t xml:space="preserve">טסנש מקונן, המדריכה בפנימיית גבעת הרימון, מסרה כי ניב מגיע נקי ומטופל. מקונן ציינה קושי בהתמדה בלימודים.</w:t>
      </w:r>
    </w:p>
    <w:p>
      <w:r>
        <w:t xml:space="preserve">טוהר מתגורר בשכונת נווה חן, במרחק הליכה מגבעת הרימון. ניב מבקר אצלו בסופי שבוע.</w:t>
      </w:r>
    </w:p>
    <w:p>
      <w:r>
        <w:t xml:space="preserve">המלצה: המשך שהות בגבעת הרימון בימי חול, וסופי שבוע אצל בוסקילה.</w:t>
      </w:r>
    </w:p>
  </w:body>
</w:document>
</file>