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כתב עמדה מטעם האפוטרופא לדין</w:t>
      </w:r>
    </w:p>
    <w:p>
      <w:r>
        <w:t xml:space="preserve">התובע:  נופר .....(להלן: גם האב)</w:t>
      </w:r>
    </w:p>
    <w:p>
      <w:r>
        <w:t xml:space="preserve">נ ג ד -</w:t>
      </w:r>
    </w:p>
    <w:p>
      <w:r>
        <w:t xml:space="preserve">הנתבעת:  טוהר(להלן: גם האם)</w:t>
      </w:r>
    </w:p>
    <w:p>
      <w:r>
        <w:t xml:space="preserve">מועד המצאת ההחלטה: ...........</w:t>
      </w:r>
    </w:p>
    <w:p>
      <w:r>
        <w:t xml:space="preserve">מועד אחרון לתגובה: ............</w:t>
      </w:r>
    </w:p>
    <w:p>
      <w:r>
        <w:t xml:space="preserve">בעניין הקטין ליעד, יליד 2015, המתגורר בבית האב בבית אריה יחד עם האח אביתר, כאשר אביתר משרת שירות צבאי.</w:t>
      </w:r>
    </w:p>
    <w:p>
      <w:r>
        <w:t xml:space="preserve">כאמור ליעד שיתף את הח"מ וציין כי מועדי השהות אינם קבועים. משכך ליעד מבקש גמישות בהחלפת זמני השהות שלו עם האם.</w:t>
      </w:r>
    </w:p>
    <w:p>
      <w:r>
        <w:t xml:space="preserve">הח"מ סבורה כי פניות למשטרה אינן הדרך. כל ניסיונות הח"מ להשיג את האם לא צלחו. מהמידע שהובא בפני הח"מ עולה כי האם אינה מגיעה במועדים שנקבעו ותחת זאת נוצרו שינויים.</w:t>
      </w:r>
    </w:p>
    <w:p>
      <w:r>
        <w:t xml:space="preserve">יוזכר כי הח"מ גם שמשה אפטרופא לדין של הקטין ליעד בהליך הקודם. האפוטרופא לדין ממליצה על הרחבת השהות אצל האב.</w:t>
      </w:r>
    </w:p>
    <w:p>
      <w:r>
        <w:t xml:space="preserve">לשם הבהרה: האב ביקש להתקדם קדימה בהסדר, וחבר של המשפחה הציע לסייע. מיטב המאמצים הושקעו.</w:t>
      </w:r>
    </w:p>
  </w:body>
</w:document>
</file>