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437bbd57557c6c2c19d288079458bbb54e7ac4"/>
    <w:p>
      <w:pPr>
        <w:pStyle w:val="Heading1"/>
      </w:pPr>
      <w:r>
        <w:t xml:space="preserve">EfficientNet-B0 — Per-Class Held-Out Test Results</w:t>
      </w:r>
    </w:p>
    <w:p>
      <w:pPr>
        <w:pStyle w:val="FirstParagraph"/>
      </w:pPr>
      <w:r>
        <w:t xml:space="preserve">Checkpoint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. Thresholds derived from B0's own validation</w:t>
      </w:r>
      <w:r>
        <w:t xml:space="preserve"> </w:t>
      </w:r>
      <w:r>
        <w:t xml:space="preserve">split; no test label used for threshold selection.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damaged_bottle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damaged_label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skewed_bottle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skewed_label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tilt_cap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water_level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missing_label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missing_cap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unscored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(all-zero condition)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</w:tbl>
    <w:p>
      <w:pPr>
        <w:pStyle w:val="BodyText"/>
      </w:pPr>
      <w:r>
        <w:t xml:space="preserve">GOOD is the implicit all-zero-defect condition, not one of the eight</w:t>
      </w:r>
      <w:r>
        <w:t xml:space="preserve"> </w:t>
      </w:r>
      <w:r>
        <w:t xml:space="preserve">stored defect classes.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