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c05db8565324a1be51da2b631e2fe50351fde6"/>
    <w:p>
      <w:pPr>
        <w:pStyle w:val="Heading1"/>
      </w:pPr>
      <w:r>
        <w:t xml:space="preserve">22 - System Knowledge Book</w:t>
      </w:r>
    </w:p>
    <w:p>
      <w:pPr>
        <w:pStyle w:val="FirstParagraph"/>
      </w:pPr>
      <w:r>
        <w:t xml:space="preserve">Built 2026-10-15. One document that explains the whole system with pictures and process flowcharts, for team-mates,</w:t>
      </w:r>
      <w:r>
        <w:t xml:space="preserve"> </w:t>
      </w:r>
      <w:r>
        <w:t xml:space="preserve">senior reviewers and examiners, and as a source to copy into the black book (its Appendix A maps each chapter to a</w:t>
      </w:r>
      <w:r>
        <w:t xml:space="preserve"> </w:t>
      </w:r>
      <w:r>
        <w:t xml:space="preserve">black-book chapter).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NexaInspect_System_Knowledge_Book.docx</w:t>
            </w:r>
          </w:p>
        </w:tc>
        <w:tc>
          <w:tcPr/>
          <w:p>
            <w:pPr>
              <w:pStyle w:val="Compact"/>
            </w:pPr>
            <w:r>
              <w:t xml:space="preserve">The book: summary, problem, machine and PLC (with a timing diagram and a worked example), architecture, per-bottle process, data, training, decision logic, accuracy and every result with its evidence level, the application, timeline of work, status, roadmap, 16 examiner Q&amp;A, commands, settings, glossary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figures/k01..k12</w:t>
            </w:r>
          </w:p>
        </w:tc>
        <w:tc>
          <w:tcPr/>
          <w:p>
            <w:pPr>
              <w:pStyle w:val="Compact"/>
            </w:pPr>
            <w:r>
              <w:t xml:space="preserve">New diagrams: machine layout, project lifecycle, pre-processing on a real image, training pipeline, decision logic, PLC timing, machine states, recipe zones, threads, annotation review, dataset pipeline, real overlays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_make_knowledge_figures.py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_build_knowledge_book.py</w:t>
            </w:r>
          </w:p>
        </w:tc>
        <w:tc>
          <w:tcPr/>
          <w:p>
            <w:pPr>
              <w:pStyle w:val="Compact"/>
            </w:pPr>
            <w:r>
              <w:t xml:space="preserve">Rebuild the figures / the .docx</w:t>
            </w:r>
          </w:p>
        </w:tc>
      </w:tr>
    </w:tbl>
    <w:p>
      <w:pPr>
        <w:pStyle w:val="BodyText"/>
      </w:pPr>
      <w:r>
        <w:t xml:space="preserve">It reuses the result figures of</w:t>
      </w:r>
      <w:r>
        <w:t xml:space="preserve"> </w:t>
      </w:r>
      <w:r>
        <w:rPr>
          <w:rStyle w:val="VerbatimChar"/>
        </w:rPr>
        <w:t xml:space="preserve">20_Final_Report/figures</w:t>
      </w:r>
      <w:r>
        <w:t xml:space="preserve"> </w:t>
      </w:r>
      <w:r>
        <w:t xml:space="preserve">and the plan flowcharts of</w:t>
      </w:r>
      <w:r>
        <w:t xml:space="preserve"> </w:t>
      </w:r>
      <w:r>
        <w:rPr>
          <w:rStyle w:val="VerbatimChar"/>
        </w:rPr>
        <w:t xml:space="preserve">21_Production_Software_Plan/figures</w:t>
      </w:r>
      <w:r>
        <w:t xml:space="preserve">,</w:t>
      </w:r>
      <w:r>
        <w:t xml:space="preserve"> </w:t>
      </w:r>
      <w:r>
        <w:t xml:space="preserve">and the data loaders of</w:t>
      </w:r>
      <w:r>
        <w:t xml:space="preserve"> </w:t>
      </w:r>
      <w:r>
        <w:rPr>
          <w:rStyle w:val="VerbatimChar"/>
        </w:rPr>
        <w:t xml:space="preserve">20_Final_Report/_build_docs.py</w:t>
      </w:r>
      <w:r>
        <w:t xml:space="preserve">, so every number comes from the metrics files,</w:t>
      </w:r>
      <w:r>
        <w:t xml:space="preserve"> </w:t>
      </w:r>
      <w:r>
        <w:rPr>
          <w:rStyle w:val="VerbatimChar"/>
        </w:rPr>
        <w:t xml:space="preserve">labels.csv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production.db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and the self-check record.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FINAL_YEAR_BLACKBOOK/22_System_Knowledge_Book/_make_knowledge_figures.py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FINAL_YEAR_BLACKBOOK/22_System_Knowledge_Book/_build_knowledge_book.py</w:t>
      </w:r>
    </w:p>
    <w:p>
      <w:pPr>
        <w:pStyle w:val="FirstParagraph"/>
      </w:pPr>
      <w:r>
        <w:t xml:space="preserve">In Word, right-click the table of contents and choose</w:t>
      </w:r>
      <w:r>
        <w:t xml:space="preserve"> </w:t>
      </w:r>
      <w:r>
        <w:rPr>
          <w:b/>
          <w:bCs/>
        </w:rPr>
        <w:t xml:space="preserve">Update Field</w:t>
      </w:r>
      <w:r>
        <w:t xml:space="preserve">. Not included yet: screenshots of the</w:t>
      </w:r>
      <w:r>
        <w:t xml:space="preserve"> </w:t>
      </w:r>
      <w:r>
        <w:t xml:space="preserve">application pages (they were not captured because another training job was using most of the RAM).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2026-10-17T13:10:04Z</dcterms:created>
  <dcterms:modified xsi:type="dcterms:W3CDTF">2026-10-17T13:10:04Z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