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AI-Enabled Sales Support Initiative</w:t>
      </w:r>
    </w:p>
    <w:p>
      <w:pPr>
        <w:jc w:val="center"/>
      </w:pPr>
      <w:r>
        <w:rPr>
          <w:i/>
          <w:color w:val="707070"/>
          <w:sz w:val="26"/>
        </w:rPr>
        <w:t>Transforming Sales Order Processing for ILL &amp; GVPN through Generative AI Automation</w:t>
      </w:r>
    </w:p>
    <w:p/>
    <w:p>
      <w:pPr>
        <w:jc w:val="center"/>
      </w:pPr>
      <w:r>
        <w:rPr>
          <w:sz w:val="20"/>
        </w:rPr>
        <w:t>Version 1.0  |  April 2026  |  Internal — Confidential</w:t>
      </w:r>
    </w:p>
    <w:p>
      <w:r>
        <w:br w:type="page"/>
      </w:r>
    </w:p>
    <w:p>
      <w:pPr>
        <w:pStyle w:val="Heading1"/>
      </w:pPr>
      <w:r/>
      <w:r>
        <w:rPr>
          <w:b/>
          <w:color w:val="1F497D"/>
          <w:sz w:val="32"/>
        </w:rPr>
        <w:t>1. Executive Summary</w:t>
      </w:r>
    </w:p>
    <w:p>
      <w:r>
        <w:t>The AI-Enabled Sales Support Initiative is a strategic program designed to fundamentally reimagine the sales order processing workflow for Internet Leased Line (ILL) and Global Virtual Private Network (GVPN) products. The current workflow is heavily manual, error-prone, and cycle-time intensive — resulting in delayed order fulfilment, inconsistent customer experience, and high operational overhead for the sales and back-office teams.</w:t>
      </w:r>
    </w:p>
    <w:p>
      <w:r>
        <w:t>By embedding Generative AI (Gen-AI) and intelligent automation at every stage of the order lifecycle — from lead qualification and proposal generation through to order validation, provisioning handoff, and post-sale follow-up — this initiative targets a 60–70% reduction in manual effort, a 40% improvement in order-to-activation cycle time, and a measurable uplift in sales team productivity and customer satisfaction scores.</w:t>
      </w:r>
    </w:p>
    <w:p>
      <w:pPr>
        <w:pStyle w:val="Heading1"/>
      </w:pPr>
      <w:r/>
      <w:r>
        <w:rPr>
          <w:b/>
          <w:color w:val="1F497D"/>
          <w:sz w:val="32"/>
        </w:rPr>
        <w:t>2. Problem Statement</w:t>
      </w:r>
    </w:p>
    <w:p>
      <w:pPr>
        <w:pStyle w:val="Heading2"/>
      </w:pPr>
      <w:r/>
      <w:r>
        <w:rPr>
          <w:b/>
          <w:color w:val="1F497D"/>
          <w:sz w:val="26"/>
        </w:rPr>
        <w:t>2.1 Current State Pain Points</w:t>
      </w:r>
    </w:p>
    <w:p>
      <w:r>
        <w:t>The existing ILL and GVPN order management process suffers from several critical inefficiencies:</w:t>
      </w:r>
    </w:p>
    <w:p>
      <w:pPr>
        <w:pStyle w:val="ListBullet"/>
      </w:pPr>
      <w:r>
        <w:t>Manual data entry across multiple disconnected systems (CRM, ERP, provisioning portal) introduces transcription errors and delays.</w:t>
      </w:r>
    </w:p>
    <w:p>
      <w:pPr>
        <w:pStyle w:val="ListBullet"/>
      </w:pPr>
      <w:r>
        <w:t>Sales representatives spend an estimated 35–40% of their working hours on non-selling activities such as order form filling, feasibility checks, and internal follow-ups.</w:t>
      </w:r>
    </w:p>
    <w:p>
      <w:pPr>
        <w:pStyle w:val="ListBullet"/>
      </w:pPr>
      <w:r>
        <w:t>Average order-to-activation cycle time for ILL orders stands at 18–22 business days, well above the industry benchmark of 10–12 days.</w:t>
      </w:r>
    </w:p>
    <w:p>
      <w:pPr>
        <w:pStyle w:val="ListBullet"/>
      </w:pPr>
      <w:r>
        <w:t>No real-time visibility into order status for customers or account managers, leading to repeated inbound status enquiries.</w:t>
      </w:r>
    </w:p>
    <w:p>
      <w:pPr>
        <w:pStyle w:val="ListBullet"/>
      </w:pPr>
      <w:r>
        <w:t>Proposal and SLA document generation is entirely manual, creating version-control issues and compliance risks.</w:t>
      </w:r>
    </w:p>
    <w:p>
      <w:pPr>
        <w:pStyle w:val="ListBullet"/>
      </w:pPr>
      <w:r>
        <w:t>Escalation management is reactive rather than predictive — delays are identified only after SLA breaches have occurred.</w:t>
      </w:r>
    </w:p>
    <w:p>
      <w:pPr>
        <w:pStyle w:val="Heading2"/>
      </w:pPr>
      <w:r/>
      <w:r>
        <w:rPr>
          <w:b/>
          <w:color w:val="1F497D"/>
          <w:sz w:val="26"/>
        </w:rPr>
        <w:t>2.2 Business Impact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Impact Area</w:t>
            </w:r>
          </w:p>
        </w:tc>
        <w:tc>
          <w:tcPr>
            <w:tcW w:type="dxa" w:w="2880"/>
          </w:tcPr>
          <w:p>
            <w:r>
              <w:rPr>
                <w:b/>
              </w:rPr>
              <w:t>Current State</w:t>
            </w:r>
          </w:p>
        </w:tc>
        <w:tc>
          <w:tcPr>
            <w:tcW w:type="dxa" w:w="2880"/>
          </w:tcPr>
          <w:p>
            <w:r>
              <w:rPr>
                <w:b/>
              </w:rPr>
              <w:t>Estimated Annual Cost</w:t>
            </w:r>
          </w:p>
        </w:tc>
      </w:tr>
      <w:tr>
        <w:tc>
          <w:tcPr>
            <w:tcW w:type="dxa" w:w="2880"/>
          </w:tcPr>
          <w:p>
            <w:r>
              <w:t>Manual rework &amp; errors</w:t>
            </w:r>
          </w:p>
        </w:tc>
        <w:tc>
          <w:tcPr>
            <w:tcW w:type="dxa" w:w="2880"/>
          </w:tcPr>
          <w:p>
            <w:r>
              <w:t>~12% of orders require rework</w:t>
            </w:r>
          </w:p>
        </w:tc>
        <w:tc>
          <w:tcPr>
            <w:tcW w:type="dxa" w:w="2880"/>
          </w:tcPr>
          <w:p>
            <w:r>
              <w:t>₹2.4 Cr in operational cost</w:t>
            </w:r>
          </w:p>
        </w:tc>
      </w:tr>
      <w:tr>
        <w:tc>
          <w:tcPr>
            <w:tcW w:type="dxa" w:w="2880"/>
          </w:tcPr>
          <w:p>
            <w:r>
              <w:t>Delayed activations</w:t>
            </w:r>
          </w:p>
        </w:tc>
        <w:tc>
          <w:tcPr>
            <w:tcW w:type="dxa" w:w="2880"/>
          </w:tcPr>
          <w:p>
            <w:r>
              <w:t>Avg. 20 business days</w:t>
            </w:r>
          </w:p>
        </w:tc>
        <w:tc>
          <w:tcPr>
            <w:tcW w:type="dxa" w:w="2880"/>
          </w:tcPr>
          <w:p>
            <w:r>
              <w:t>Revenue leakage of ₹6 Cr+</w:t>
            </w:r>
          </w:p>
        </w:tc>
      </w:tr>
      <w:tr>
        <w:tc>
          <w:tcPr>
            <w:tcW w:type="dxa" w:w="2880"/>
          </w:tcPr>
          <w:p>
            <w:r>
              <w:t>Sales productivity loss</w:t>
            </w:r>
          </w:p>
        </w:tc>
        <w:tc>
          <w:tcPr>
            <w:tcW w:type="dxa" w:w="2880"/>
          </w:tcPr>
          <w:p>
            <w:r>
              <w:t>35% time on admin tasks</w:t>
            </w:r>
          </w:p>
        </w:tc>
        <w:tc>
          <w:tcPr>
            <w:tcW w:type="dxa" w:w="2880"/>
          </w:tcPr>
          <w:p>
            <w:r>
              <w:t>Equivalent to 40 FTE hours/week</w:t>
            </w:r>
          </w:p>
        </w:tc>
      </w:tr>
      <w:tr>
        <w:tc>
          <w:tcPr>
            <w:tcW w:type="dxa" w:w="2880"/>
          </w:tcPr>
          <w:p>
            <w:r>
              <w:t>Customer churn (processing)</w:t>
            </w:r>
          </w:p>
        </w:tc>
        <w:tc>
          <w:tcPr>
            <w:tcW w:type="dxa" w:w="2880"/>
          </w:tcPr>
          <w:p>
            <w:r>
              <w:t>8% churn attributable to onboarding delays</w:t>
            </w:r>
          </w:p>
        </w:tc>
        <w:tc>
          <w:tcPr>
            <w:tcW w:type="dxa" w:w="2880"/>
          </w:tcPr>
          <w:p>
            <w:r>
              <w:t>₹9 Cr ARR at risk</w:t>
            </w:r>
          </w:p>
        </w:tc>
      </w:tr>
    </w:tbl>
    <w:p/>
    <w:p>
      <w:pPr>
        <w:pStyle w:val="Heading1"/>
      </w:pPr>
      <w:r/>
      <w:r>
        <w:rPr>
          <w:b/>
          <w:color w:val="1F497D"/>
          <w:sz w:val="32"/>
        </w:rPr>
        <w:t>3. Initiative Overview</w:t>
      </w:r>
    </w:p>
    <w:p>
      <w:pPr>
        <w:pStyle w:val="Heading2"/>
      </w:pPr>
      <w:r/>
      <w:r>
        <w:rPr>
          <w:b/>
          <w:color w:val="1F497D"/>
          <w:sz w:val="26"/>
        </w:rPr>
        <w:t>3.1 Objectives</w:t>
      </w:r>
    </w:p>
    <w:p>
      <w:pPr>
        <w:pStyle w:val="ListBullet"/>
      </w:pPr>
      <w:r>
        <w:t>Automate end-to-end ILL and GVPN order intake, validation, and provisioning handoff using Gen-AI.</w:t>
      </w:r>
    </w:p>
    <w:p>
      <w:pPr>
        <w:pStyle w:val="ListBullet"/>
      </w:pPr>
      <w:r>
        <w:t>Reduce average order processing time from 20 to under 8 business days.</w:t>
      </w:r>
    </w:p>
    <w:p>
      <w:pPr>
        <w:pStyle w:val="ListBullet"/>
      </w:pPr>
      <w:r>
        <w:t>Free sales representatives from administrative burden so they can focus on high-value customer engagement.</w:t>
      </w:r>
    </w:p>
    <w:p>
      <w:pPr>
        <w:pStyle w:val="ListBullet"/>
      </w:pPr>
      <w:r>
        <w:t>Deliver real-time order tracking and proactive communication to customers and internal stakeholders.</w:t>
      </w:r>
    </w:p>
    <w:p>
      <w:pPr>
        <w:pStyle w:val="ListBullet"/>
      </w:pPr>
      <w:r>
        <w:t>Ensure compliance with regulatory and internal SLA requirements through automated checks and audit trails.</w:t>
      </w:r>
    </w:p>
    <w:p>
      <w:pPr>
        <w:pStyle w:val="Heading2"/>
      </w:pPr>
      <w:r/>
      <w:r>
        <w:rPr>
          <w:b/>
          <w:color w:val="1F497D"/>
          <w:sz w:val="26"/>
        </w:rPr>
        <w:t>3.2 Scope</w:t>
      </w:r>
    </w:p>
    <w:p>
      <w:r>
        <w:t>In Scope:</w:t>
      </w:r>
    </w:p>
    <w:p>
      <w:pPr>
        <w:pStyle w:val="ListBullet"/>
      </w:pPr>
      <w:r>
        <w:t>Internet Leased Line (ILL) — all bandwidth tiers (10 Mbps to 10 Gbps)</w:t>
      </w:r>
    </w:p>
    <w:p>
      <w:pPr>
        <w:pStyle w:val="ListBullet"/>
      </w:pPr>
      <w:r>
        <w:t>Global Virtual Private Network (GVPN) — site-to-site and hub-and-spoke configurations</w:t>
      </w:r>
    </w:p>
    <w:p>
      <w:pPr>
        <w:pStyle w:val="ListBullet"/>
      </w:pPr>
      <w:r>
        <w:t>New order, upgrade, downgrade, and renewal workflows</w:t>
      </w:r>
    </w:p>
    <w:p>
      <w:pPr>
        <w:pStyle w:val="ListBullet"/>
      </w:pPr>
      <w:r>
        <w:t>Feasibility assessment and network readiness automation</w:t>
      </w:r>
    </w:p>
    <w:p>
      <w:pPr>
        <w:pStyle w:val="ListBullet"/>
      </w:pPr>
      <w:r>
        <w:t>Proposal and commercial document generation</w:t>
      </w:r>
    </w:p>
    <w:p>
      <w:pPr>
        <w:pStyle w:val="ListBullet"/>
      </w:pPr>
      <w:r>
        <w:t>Order validation and provisioning handoff to NOC</w:t>
      </w:r>
    </w:p>
    <w:p>
      <w:pPr>
        <w:pStyle w:val="ListBullet"/>
      </w:pPr>
      <w:r>
        <w:t>Customer communication and status notification engine</w:t>
      </w:r>
    </w:p>
    <w:p>
      <w:r>
        <w:t>Out of Scope (Phase 1):</w:t>
      </w:r>
    </w:p>
    <w:p>
      <w:pPr>
        <w:pStyle w:val="ListBullet"/>
      </w:pPr>
      <w:r>
        <w:t>Legacy broadband and MPLS products (targeted for Phase 2)</w:t>
      </w:r>
    </w:p>
    <w:p>
      <w:pPr>
        <w:pStyle w:val="ListBullet"/>
      </w:pPr>
      <w:r>
        <w:t>Billing and collections workflows</w:t>
      </w:r>
    </w:p>
    <w:p>
      <w:pPr>
        <w:pStyle w:val="ListBullet"/>
      </w:pPr>
      <w:r>
        <w:t>International circuit provisioning beyond existing NNI agreements</w:t>
      </w:r>
    </w:p>
    <w:p>
      <w:pPr>
        <w:pStyle w:val="Heading1"/>
      </w:pPr>
      <w:r/>
      <w:r>
        <w:rPr>
          <w:b/>
          <w:color w:val="1F497D"/>
          <w:sz w:val="32"/>
        </w:rPr>
        <w:t>4. Solution Architecture</w:t>
      </w:r>
    </w:p>
    <w:p>
      <w:pPr>
        <w:pStyle w:val="Heading2"/>
      </w:pPr>
      <w:r/>
      <w:r>
        <w:rPr>
          <w:b/>
          <w:color w:val="1F497D"/>
          <w:sz w:val="26"/>
        </w:rPr>
        <w:t>4.1 High-Level Architecture</w:t>
      </w:r>
    </w:p>
    <w:p>
      <w:r>
        <w:t>The solution is built on a modular Gen-AI platform integrated with the existing CRM (Salesforce), ERP (SAP), and provisioning systems via secure APIs. The core components are: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Description</w:t>
            </w:r>
          </w:p>
        </w:tc>
        <w:tc>
          <w:tcPr>
            <w:tcW w:type="dxa" w:w="2880"/>
          </w:tcPr>
          <w:p>
            <w:r>
              <w:rPr>
                <w:b/>
              </w:rPr>
              <w:t>Technology</w:t>
            </w:r>
          </w:p>
        </w:tc>
      </w:tr>
      <w:tr>
        <w:tc>
          <w:tcPr>
            <w:tcW w:type="dxa" w:w="2880"/>
          </w:tcPr>
          <w:p>
            <w:r>
              <w:t>AI Order Intake Agent</w:t>
            </w:r>
          </w:p>
        </w:tc>
        <w:tc>
          <w:tcPr>
            <w:tcW w:type="dxa" w:w="2880"/>
          </w:tcPr>
          <w:p>
            <w:r>
              <w:t>Captures and structures order data from email, chat, and web forms using NLP</w:t>
            </w:r>
          </w:p>
        </w:tc>
        <w:tc>
          <w:tcPr>
            <w:tcW w:type="dxa" w:w="2880"/>
          </w:tcPr>
          <w:p>
            <w:r>
              <w:t>LLM (Claude Sonnet), OCR</w:t>
            </w:r>
          </w:p>
        </w:tc>
      </w:tr>
      <w:tr>
        <w:tc>
          <w:tcPr>
            <w:tcW w:type="dxa" w:w="2880"/>
          </w:tcPr>
          <w:p>
            <w:r>
              <w:t>Feasibility Intelligence Engine</w:t>
            </w:r>
          </w:p>
        </w:tc>
        <w:tc>
          <w:tcPr>
            <w:tcW w:type="dxa" w:w="2880"/>
          </w:tcPr>
          <w:p>
            <w:r>
              <w:t>Automated network feasibility checks using GIS data and inventory APIs</w:t>
            </w:r>
          </w:p>
        </w:tc>
        <w:tc>
          <w:tcPr>
            <w:tcW w:type="dxa" w:w="2880"/>
          </w:tcPr>
          <w:p>
            <w:r>
              <w:t>Graph ML, REST APIs</w:t>
            </w:r>
          </w:p>
        </w:tc>
      </w:tr>
      <w:tr>
        <w:tc>
          <w:tcPr>
            <w:tcW w:type="dxa" w:w="2880"/>
          </w:tcPr>
          <w:p>
            <w:r>
              <w:t>Proposal Generation Module</w:t>
            </w:r>
          </w:p>
        </w:tc>
        <w:tc>
          <w:tcPr>
            <w:tcW w:type="dxa" w:w="2880"/>
          </w:tcPr>
          <w:p>
            <w:r>
              <w:t>Auto-generates customised commercial proposals and SLA documents</w:t>
            </w:r>
          </w:p>
        </w:tc>
        <w:tc>
          <w:tcPr>
            <w:tcW w:type="dxa" w:w="2880"/>
          </w:tcPr>
          <w:p>
            <w:r>
              <w:t>LLM + Template Engine</w:t>
            </w:r>
          </w:p>
        </w:tc>
      </w:tr>
      <w:tr>
        <w:tc>
          <w:tcPr>
            <w:tcW w:type="dxa" w:w="2880"/>
          </w:tcPr>
          <w:p>
            <w:r>
              <w:t>Order Validation Bot</w:t>
            </w:r>
          </w:p>
        </w:tc>
        <w:tc>
          <w:tcPr>
            <w:tcW w:type="dxa" w:w="2880"/>
          </w:tcPr>
          <w:p>
            <w:r>
              <w:t>Validates order completeness, pricing, and compliance before submission</w:t>
            </w:r>
          </w:p>
        </w:tc>
        <w:tc>
          <w:tcPr>
            <w:tcW w:type="dxa" w:w="2880"/>
          </w:tcPr>
          <w:p>
            <w:r>
              <w:t>Rule Engine + LLM</w:t>
            </w:r>
          </w:p>
        </w:tc>
      </w:tr>
      <w:tr>
        <w:tc>
          <w:tcPr>
            <w:tcW w:type="dxa" w:w="2880"/>
          </w:tcPr>
          <w:p>
            <w:r>
              <w:t>Provisioning Handoff Orchestrator</w:t>
            </w:r>
          </w:p>
        </w:tc>
        <w:tc>
          <w:tcPr>
            <w:tcW w:type="dxa" w:w="2880"/>
          </w:tcPr>
          <w:p>
            <w:r>
              <w:t>Creates structured work orders in the NOC system and tracks milestones</w:t>
            </w:r>
          </w:p>
        </w:tc>
        <w:tc>
          <w:tcPr>
            <w:tcW w:type="dxa" w:w="2880"/>
          </w:tcPr>
          <w:p>
            <w:r>
              <w:t>Workflow Automation (n8n)</w:t>
            </w:r>
          </w:p>
        </w:tc>
      </w:tr>
      <w:tr>
        <w:tc>
          <w:tcPr>
            <w:tcW w:type="dxa" w:w="2880"/>
          </w:tcPr>
          <w:p>
            <w:r>
              <w:t>Customer Notification Engine</w:t>
            </w:r>
          </w:p>
        </w:tc>
        <w:tc>
          <w:tcPr>
            <w:tcW w:type="dxa" w:w="2880"/>
          </w:tcPr>
          <w:p>
            <w:r>
              <w:t>Sends proactive status updates via email, SMS, and WhatsApp</w:t>
            </w:r>
          </w:p>
        </w:tc>
        <w:tc>
          <w:tcPr>
            <w:tcW w:type="dxa" w:w="2880"/>
          </w:tcPr>
          <w:p>
            <w:r>
              <w:t>Twilio, SendGrid</w:t>
            </w:r>
          </w:p>
        </w:tc>
      </w:tr>
      <w:tr>
        <w:tc>
          <w:tcPr>
            <w:tcW w:type="dxa" w:w="2880"/>
          </w:tcPr>
          <w:p>
            <w:r>
              <w:t>Sales Assist Copilot</w:t>
            </w:r>
          </w:p>
        </w:tc>
        <w:tc>
          <w:tcPr>
            <w:tcW w:type="dxa" w:w="2880"/>
          </w:tcPr>
          <w:p>
            <w:r>
              <w:t>In-app Gen-AI assistant for sales reps — answers queries, drafts responses</w:t>
            </w:r>
          </w:p>
        </w:tc>
        <w:tc>
          <w:tcPr>
            <w:tcW w:type="dxa" w:w="2880"/>
          </w:tcPr>
          <w:p>
            <w:r>
              <w:t>RAG + LLM</w:t>
            </w:r>
          </w:p>
        </w:tc>
      </w:tr>
      <w:tr>
        <w:tc>
          <w:tcPr>
            <w:tcW w:type="dxa" w:w="2880"/>
          </w:tcPr>
          <w:p>
            <w:r>
              <w:t>Analytics &amp; Reporting Dashboard</w:t>
            </w:r>
          </w:p>
        </w:tc>
        <w:tc>
          <w:tcPr>
            <w:tcW w:type="dxa" w:w="2880"/>
          </w:tcPr>
          <w:p>
            <w:r>
              <w:t>Real-time KPI visibility for sales heads and ops managers</w:t>
            </w:r>
          </w:p>
        </w:tc>
        <w:tc>
          <w:tcPr>
            <w:tcW w:type="dxa" w:w="2880"/>
          </w:tcPr>
          <w:p>
            <w:r>
              <w:t>Power BI + Data Lake</w:t>
            </w:r>
          </w:p>
        </w:tc>
      </w:tr>
    </w:tbl>
    <w:p/>
    <w:p>
      <w:pPr>
        <w:pStyle w:val="Heading2"/>
      </w:pPr>
      <w:r/>
      <w:r>
        <w:rPr>
          <w:b/>
          <w:color w:val="1F497D"/>
          <w:sz w:val="26"/>
        </w:rPr>
        <w:t>4.2 Data Flow</w:t>
      </w:r>
    </w:p>
    <w:p>
      <w:r>
        <w:t>Order requests originate from multiple channels — customer email, the self-service portal, or direct input by a sales representative into the CRM. The AI Order Intake Agent extracts structured data using a fine-tuned large language model, resolves ambiguities through a clarification dialogue, and deposits a validated order object into the central Order Management Hub. The Feasibility Intelligence Engine then queries live network inventory and GIS layers to return a feasibility verdict within minutes rather than the current 2–3 day manual turnaround. Upon feasibility confirmation, the Proposal Generation Module assembles a bespoke commercial proposal, which the sales rep can review and dispatch with a single click. Post-acceptance, the Order Validation Bot performs a 47-point compliance and pricing check before the Provisioning Handoff Orchestrator creates a prioritised work order in the NOC queue. At every milestone, the Customer Notification Engine dispatches contextual updates, eliminating the need for manual status calls.</w:t>
      </w:r>
    </w:p>
    <w:p>
      <w:pPr>
        <w:pStyle w:val="Heading1"/>
      </w:pPr>
      <w:r/>
      <w:r>
        <w:rPr>
          <w:b/>
          <w:color w:val="1F497D"/>
          <w:sz w:val="32"/>
        </w:rPr>
        <w:t>5. Core Gen-AI Capabilities</w:t>
      </w:r>
    </w:p>
    <w:p>
      <w:pPr>
        <w:pStyle w:val="Heading2"/>
      </w:pPr>
      <w:r/>
      <w:r>
        <w:rPr>
          <w:b/>
          <w:color w:val="1F497D"/>
          <w:sz w:val="26"/>
        </w:rPr>
        <w:t>5.1 Intelligent Order Intake &amp; Entity Extraction</w:t>
      </w:r>
    </w:p>
    <w:p>
      <w:r>
        <w:t>A fine-tuned LLM parses unstructured order requests arriving via email or chat. It identifies key entities — customer name, site address, bandwidth requirement, contract tenure, billing entity — and maps them to the canonical order schema. Confidence scores are assigned to each extracted field; low-confidence fields trigger an automated clarification request to the customer before the order progresses. This eliminates the need for manual data entry in over 80% of cases.</w:t>
      </w:r>
    </w:p>
    <w:p>
      <w:pPr>
        <w:pStyle w:val="Heading2"/>
      </w:pPr>
      <w:r/>
      <w:r>
        <w:rPr>
          <w:b/>
          <w:color w:val="1F497D"/>
          <w:sz w:val="26"/>
        </w:rPr>
        <w:t>5.2 Retrieval-Augmented Proposal Generation</w:t>
      </w:r>
    </w:p>
    <w:p>
      <w:r>
        <w:t>The Proposal Generation Module uses a Retrieval-Augmented Generation (RAG) architecture. A vector database indexes approved proposal templates, product rate cards, regulatory clauses, and past winning proposals. The LLM retrieves the most relevant content chunks and synthesises a fully formatted, customer-specific proposal in under 90 seconds. The output includes bandwidth specifications, SLA commitments, pricing breakdowns, and a personalised executive summary tailored to the customer's industry vertical.</w:t>
      </w:r>
    </w:p>
    <w:p>
      <w:pPr>
        <w:pStyle w:val="Heading2"/>
      </w:pPr>
      <w:r/>
      <w:r>
        <w:rPr>
          <w:b/>
          <w:color w:val="1F497D"/>
          <w:sz w:val="26"/>
        </w:rPr>
        <w:t>5.3 Sales Assist Copilot</w:t>
      </w:r>
    </w:p>
    <w:p>
      <w:r>
        <w:t>An embedded Gen-AI copilot within the CRM interface gives sales representatives instant access to product knowledge, competitive battlecards, objection-handling scripts, and pricing guidance. Sales reps can query in natural language ('What's the best GVPN configuration for a 12-site retail customer with latency-sensitive POS systems?') and receive structured, actionable responses grounded in the internal knowledge base. The copilot also drafts follow-up emails and meeting summaries automatically from call transcripts.</w:t>
      </w:r>
    </w:p>
    <w:p>
      <w:pPr>
        <w:pStyle w:val="Heading2"/>
      </w:pPr>
      <w:r/>
      <w:r>
        <w:rPr>
          <w:b/>
          <w:color w:val="1F497D"/>
          <w:sz w:val="26"/>
        </w:rPr>
        <w:t>5.4 Predictive SLA Breach Detection</w:t>
      </w:r>
    </w:p>
    <w:p>
      <w:r>
        <w:t>A time-series ML model monitors order milestones in real time and predicts the probability of an SLA breach 48–72 hours in advance. When breach risk exceeds a configurable threshold, the system automatically escalates to the relevant NOC supervisor and account manager, suggests corrective actions, and logs the intervention in the audit trail. This shifts the operations team from reactive firefighting to proactive risk management.</w:t>
      </w:r>
    </w:p>
    <w:p>
      <w:pPr>
        <w:pStyle w:val="Heading1"/>
      </w:pPr>
      <w:r/>
      <w:r>
        <w:rPr>
          <w:b/>
          <w:color w:val="1F497D"/>
          <w:sz w:val="32"/>
        </w:rPr>
        <w:t>6. Implementation Roadmap</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Key Deliverables</w:t>
            </w:r>
          </w:p>
        </w:tc>
        <w:tc>
          <w:tcPr>
            <w:tcW w:type="dxa" w:w="2160"/>
          </w:tcPr>
          <w:p>
            <w:r>
              <w:rPr>
                <w:b/>
              </w:rPr>
              <w:t>Milestone</w:t>
            </w:r>
          </w:p>
        </w:tc>
      </w:tr>
      <w:tr>
        <w:tc>
          <w:tcPr>
            <w:tcW w:type="dxa" w:w="2160"/>
          </w:tcPr>
          <w:p>
            <w:r>
              <w:t>Phase 0 — Discovery &amp; Design</w:t>
            </w:r>
          </w:p>
        </w:tc>
        <w:tc>
          <w:tcPr>
            <w:tcW w:type="dxa" w:w="2160"/>
          </w:tcPr>
          <w:p>
            <w:r>
              <w:t>Weeks 1–4</w:t>
            </w:r>
          </w:p>
        </w:tc>
        <w:tc>
          <w:tcPr>
            <w:tcW w:type="dxa" w:w="2160"/>
          </w:tcPr>
          <w:p>
            <w:r>
              <w:t>AS-IS process mapping, data audit, architecture sign-off</w:t>
            </w:r>
          </w:p>
        </w:tc>
        <w:tc>
          <w:tcPr>
            <w:tcW w:type="dxa" w:w="2160"/>
          </w:tcPr>
          <w:p>
            <w:r>
              <w:t>Design freeze</w:t>
            </w:r>
          </w:p>
        </w:tc>
      </w:tr>
      <w:tr>
        <w:tc>
          <w:tcPr>
            <w:tcW w:type="dxa" w:w="2160"/>
          </w:tcPr>
          <w:p>
            <w:r>
              <w:t>Phase 1 — Core Automation</w:t>
            </w:r>
          </w:p>
        </w:tc>
        <w:tc>
          <w:tcPr>
            <w:tcW w:type="dxa" w:w="2160"/>
          </w:tcPr>
          <w:p>
            <w:r>
              <w:t>Weeks 5–14</w:t>
            </w:r>
          </w:p>
        </w:tc>
        <w:tc>
          <w:tcPr>
            <w:tcW w:type="dxa" w:w="2160"/>
          </w:tcPr>
          <w:p>
            <w:r>
              <w:t>AI Order Intake Agent, Feasibility Engine, Order Validation Bot</w:t>
            </w:r>
          </w:p>
        </w:tc>
        <w:tc>
          <w:tcPr>
            <w:tcW w:type="dxa" w:w="2160"/>
          </w:tcPr>
          <w:p>
            <w:r>
              <w:t>Pilot go-live (2 circles)</w:t>
            </w:r>
          </w:p>
        </w:tc>
      </w:tr>
      <w:tr>
        <w:tc>
          <w:tcPr>
            <w:tcW w:type="dxa" w:w="2160"/>
          </w:tcPr>
          <w:p>
            <w:r>
              <w:t>Phase 2 — Proposal &amp; Copilot</w:t>
            </w:r>
          </w:p>
        </w:tc>
        <w:tc>
          <w:tcPr>
            <w:tcW w:type="dxa" w:w="2160"/>
          </w:tcPr>
          <w:p>
            <w:r>
              <w:t>Weeks 15–22</w:t>
            </w:r>
          </w:p>
        </w:tc>
        <w:tc>
          <w:tcPr>
            <w:tcW w:type="dxa" w:w="2160"/>
          </w:tcPr>
          <w:p>
            <w:r>
              <w:t>Proposal Generation Module, Sales Assist Copilot, CRM integration</w:t>
            </w:r>
          </w:p>
        </w:tc>
        <w:tc>
          <w:tcPr>
            <w:tcW w:type="dxa" w:w="2160"/>
          </w:tcPr>
          <w:p>
            <w:r>
              <w:t>National rollout</w:t>
            </w:r>
          </w:p>
        </w:tc>
      </w:tr>
      <w:tr>
        <w:tc>
          <w:tcPr>
            <w:tcW w:type="dxa" w:w="2160"/>
          </w:tcPr>
          <w:p>
            <w:r>
              <w:t>Phase 3 — Customer Experience</w:t>
            </w:r>
          </w:p>
        </w:tc>
        <w:tc>
          <w:tcPr>
            <w:tcW w:type="dxa" w:w="2160"/>
          </w:tcPr>
          <w:p>
            <w:r>
              <w:t>Weeks 23–28</w:t>
            </w:r>
          </w:p>
        </w:tc>
        <w:tc>
          <w:tcPr>
            <w:tcW w:type="dxa" w:w="2160"/>
          </w:tcPr>
          <w:p>
            <w:r>
              <w:t>Customer Notification Engine, self-service portal, WhatsApp bot</w:t>
            </w:r>
          </w:p>
        </w:tc>
        <w:tc>
          <w:tcPr>
            <w:tcW w:type="dxa" w:w="2160"/>
          </w:tcPr>
          <w:p>
            <w:r>
              <w:t>Full feature parity</w:t>
            </w:r>
          </w:p>
        </w:tc>
      </w:tr>
      <w:tr>
        <w:tc>
          <w:tcPr>
            <w:tcW w:type="dxa" w:w="2160"/>
          </w:tcPr>
          <w:p>
            <w:r>
              <w:t>Phase 4 — Analytics &amp; Optimise</w:t>
            </w:r>
          </w:p>
        </w:tc>
        <w:tc>
          <w:tcPr>
            <w:tcW w:type="dxa" w:w="2160"/>
          </w:tcPr>
          <w:p>
            <w:r>
              <w:t>Weeks 29–36</w:t>
            </w:r>
          </w:p>
        </w:tc>
        <w:tc>
          <w:tcPr>
            <w:tcW w:type="dxa" w:w="2160"/>
          </w:tcPr>
          <w:p>
            <w:r>
              <w:t>Power BI dashboards, model retraining pipeline, feedback loops</w:t>
            </w:r>
          </w:p>
        </w:tc>
        <w:tc>
          <w:tcPr>
            <w:tcW w:type="dxa" w:w="2160"/>
          </w:tcPr>
          <w:p>
            <w:r>
              <w:t>BAU handover</w:t>
            </w:r>
          </w:p>
        </w:tc>
      </w:tr>
    </w:tbl>
    <w:p/>
    <w:p>
      <w:pPr>
        <w:pStyle w:val="Heading1"/>
      </w:pPr>
      <w:r/>
      <w:r>
        <w:rPr>
          <w:b/>
          <w:color w:val="1F497D"/>
          <w:sz w:val="32"/>
        </w:rPr>
        <w:t>7. KPIs &amp; Success Metrics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Baseline</w:t>
            </w:r>
          </w:p>
        </w:tc>
        <w:tc>
          <w:tcPr>
            <w:tcW w:type="dxa" w:w="2160"/>
          </w:tcPr>
          <w:p>
            <w:r>
              <w:rPr>
                <w:b/>
              </w:rPr>
              <w:t>Phase 1 Target</w:t>
            </w:r>
          </w:p>
        </w:tc>
        <w:tc>
          <w:tcPr>
            <w:tcW w:type="dxa" w:w="2160"/>
          </w:tcPr>
          <w:p>
            <w:r>
              <w:rPr>
                <w:b/>
              </w:rPr>
              <w:t>End-State Target</w:t>
            </w:r>
          </w:p>
        </w:tc>
      </w:tr>
      <w:tr>
        <w:tc>
          <w:tcPr>
            <w:tcW w:type="dxa" w:w="2160"/>
          </w:tcPr>
          <w:p>
            <w:r>
              <w:t>Order-to-activation cycle time</w:t>
            </w:r>
          </w:p>
        </w:tc>
        <w:tc>
          <w:tcPr>
            <w:tcW w:type="dxa" w:w="2160"/>
          </w:tcPr>
          <w:p>
            <w:r>
              <w:t>20 business days</w:t>
            </w:r>
          </w:p>
        </w:tc>
        <w:tc>
          <w:tcPr>
            <w:tcW w:type="dxa" w:w="2160"/>
          </w:tcPr>
          <w:p>
            <w:r>
              <w:t>14 business days</w:t>
            </w:r>
          </w:p>
        </w:tc>
        <w:tc>
          <w:tcPr>
            <w:tcW w:type="dxa" w:w="2160"/>
          </w:tcPr>
          <w:p>
            <w:r>
              <w:t>≤8 business days</w:t>
            </w:r>
          </w:p>
        </w:tc>
      </w:tr>
      <w:tr>
        <w:tc>
          <w:tcPr>
            <w:tcW w:type="dxa" w:w="2160"/>
          </w:tcPr>
          <w:p>
            <w:r>
              <w:t>Manual effort per order (hours)</w:t>
            </w:r>
          </w:p>
        </w:tc>
        <w:tc>
          <w:tcPr>
            <w:tcW w:type="dxa" w:w="2160"/>
          </w:tcPr>
          <w:p>
            <w:r>
              <w:t>4.5 hrs</w:t>
            </w:r>
          </w:p>
        </w:tc>
        <w:tc>
          <w:tcPr>
            <w:tcW w:type="dxa" w:w="2160"/>
          </w:tcPr>
          <w:p>
            <w:r>
              <w:t>2.0 hrs</w:t>
            </w:r>
          </w:p>
        </w:tc>
        <w:tc>
          <w:tcPr>
            <w:tcW w:type="dxa" w:w="2160"/>
          </w:tcPr>
          <w:p>
            <w:r>
              <w:t>0.8 hrs</w:t>
            </w:r>
          </w:p>
        </w:tc>
      </w:tr>
      <w:tr>
        <w:tc>
          <w:tcPr>
            <w:tcW w:type="dxa" w:w="2160"/>
          </w:tcPr>
          <w:p>
            <w:r>
              <w:t>Order rework rate</w:t>
            </w:r>
          </w:p>
        </w:tc>
        <w:tc>
          <w:tcPr>
            <w:tcW w:type="dxa" w:w="2160"/>
          </w:tcPr>
          <w:p>
            <w:r>
              <w:t>12%</w:t>
            </w:r>
          </w:p>
        </w:tc>
        <w:tc>
          <w:tcPr>
            <w:tcW w:type="dxa" w:w="2160"/>
          </w:tcPr>
          <w:p>
            <w:r>
              <w:t>6%</w:t>
            </w:r>
          </w:p>
        </w:tc>
        <w:tc>
          <w:tcPr>
            <w:tcW w:type="dxa" w:w="2160"/>
          </w:tcPr>
          <w:p>
            <w:r>
              <w:t>&lt;3%</w:t>
            </w:r>
          </w:p>
        </w:tc>
      </w:tr>
      <w:tr>
        <w:tc>
          <w:tcPr>
            <w:tcW w:type="dxa" w:w="2160"/>
          </w:tcPr>
          <w:p>
            <w:r>
              <w:t>Sales rep admin time (% of day)</w:t>
            </w:r>
          </w:p>
        </w:tc>
        <w:tc>
          <w:tcPr>
            <w:tcW w:type="dxa" w:w="2160"/>
          </w:tcPr>
          <w:p>
            <w:r>
              <w:t>38%</w:t>
            </w:r>
          </w:p>
        </w:tc>
        <w:tc>
          <w:tcPr>
            <w:tcW w:type="dxa" w:w="2160"/>
          </w:tcPr>
          <w:p>
            <w:r>
              <w:t>22%</w:t>
            </w:r>
          </w:p>
        </w:tc>
        <w:tc>
          <w:tcPr>
            <w:tcW w:type="dxa" w:w="2160"/>
          </w:tcPr>
          <w:p>
            <w:r>
              <w:t>&lt;15%</w:t>
            </w:r>
          </w:p>
        </w:tc>
      </w:tr>
      <w:tr>
        <w:tc>
          <w:tcPr>
            <w:tcW w:type="dxa" w:w="2160"/>
          </w:tcPr>
          <w:p>
            <w:r>
              <w:t>Customer satisfaction (CSAT)</w:t>
            </w:r>
          </w:p>
        </w:tc>
        <w:tc>
          <w:tcPr>
            <w:tcW w:type="dxa" w:w="2160"/>
          </w:tcPr>
          <w:p>
            <w:r>
              <w:t>68%</w:t>
            </w:r>
          </w:p>
        </w:tc>
        <w:tc>
          <w:tcPr>
            <w:tcW w:type="dxa" w:w="2160"/>
          </w:tcPr>
          <w:p>
            <w:r>
              <w:t>76%</w:t>
            </w:r>
          </w:p>
        </w:tc>
        <w:tc>
          <w:tcPr>
            <w:tcW w:type="dxa" w:w="2160"/>
          </w:tcPr>
          <w:p>
            <w:r>
              <w:t>85%+</w:t>
            </w:r>
          </w:p>
        </w:tc>
      </w:tr>
      <w:tr>
        <w:tc>
          <w:tcPr>
            <w:tcW w:type="dxa" w:w="2160"/>
          </w:tcPr>
          <w:p>
            <w:r>
              <w:t>Feasibility turnaround time</w:t>
            </w:r>
          </w:p>
        </w:tc>
        <w:tc>
          <w:tcPr>
            <w:tcW w:type="dxa" w:w="2160"/>
          </w:tcPr>
          <w:p>
            <w:r>
              <w:t>2–3 days</w:t>
            </w:r>
          </w:p>
        </w:tc>
        <w:tc>
          <w:tcPr>
            <w:tcW w:type="dxa" w:w="2160"/>
          </w:tcPr>
          <w:p>
            <w:r>
              <w:t>4 hours</w:t>
            </w:r>
          </w:p>
        </w:tc>
        <w:tc>
          <w:tcPr>
            <w:tcW w:type="dxa" w:w="2160"/>
          </w:tcPr>
          <w:p>
            <w:r>
              <w:t>&lt;30 minutes</w:t>
            </w:r>
          </w:p>
        </w:tc>
      </w:tr>
      <w:tr>
        <w:tc>
          <w:tcPr>
            <w:tcW w:type="dxa" w:w="2160"/>
          </w:tcPr>
          <w:p>
            <w:r>
              <w:t>Proposal generation time</w:t>
            </w:r>
          </w:p>
        </w:tc>
        <w:tc>
          <w:tcPr>
            <w:tcW w:type="dxa" w:w="2160"/>
          </w:tcPr>
          <w:p>
            <w:r>
              <w:t>6–8 hours</w:t>
            </w:r>
          </w:p>
        </w:tc>
        <w:tc>
          <w:tcPr>
            <w:tcW w:type="dxa" w:w="2160"/>
          </w:tcPr>
          <w:p>
            <w:r>
              <w:t>2 hours</w:t>
            </w:r>
          </w:p>
        </w:tc>
        <w:tc>
          <w:tcPr>
            <w:tcW w:type="dxa" w:w="2160"/>
          </w:tcPr>
          <w:p>
            <w:r>
              <w:t>&lt;2 minutes (automated)</w:t>
            </w:r>
          </w:p>
        </w:tc>
      </w:tr>
      <w:tr>
        <w:tc>
          <w:tcPr>
            <w:tcW w:type="dxa" w:w="2160"/>
          </w:tcPr>
          <w:p>
            <w:r>
              <w:t>SLA breach rate</w:t>
            </w:r>
          </w:p>
        </w:tc>
        <w:tc>
          <w:tcPr>
            <w:tcW w:type="dxa" w:w="2160"/>
          </w:tcPr>
          <w:p>
            <w:r>
              <w:t>9%</w:t>
            </w:r>
          </w:p>
        </w:tc>
        <w:tc>
          <w:tcPr>
            <w:tcW w:type="dxa" w:w="2160"/>
          </w:tcPr>
          <w:p>
            <w:r>
              <w:t>5%</w:t>
            </w:r>
          </w:p>
        </w:tc>
        <w:tc>
          <w:tcPr>
            <w:tcW w:type="dxa" w:w="2160"/>
          </w:tcPr>
          <w:p>
            <w:r>
              <w:t>&lt;2%</w:t>
            </w:r>
          </w:p>
        </w:tc>
      </w:tr>
    </w:tbl>
    <w:p/>
    <w:p>
      <w:pPr>
        <w:pStyle w:val="Heading1"/>
      </w:pPr>
      <w:r/>
      <w:r>
        <w:rPr>
          <w:b/>
          <w:color w:val="1F497D"/>
          <w:sz w:val="32"/>
        </w:rPr>
        <w:t>8. Governance &amp; Risk Management</w:t>
      </w:r>
    </w:p>
    <w:p>
      <w:pPr>
        <w:pStyle w:val="Heading2"/>
      </w:pPr>
      <w:r/>
      <w:r>
        <w:rPr>
          <w:b/>
          <w:color w:val="1F497D"/>
          <w:sz w:val="26"/>
        </w:rPr>
        <w:t>8.1 Governance Structure</w:t>
      </w:r>
    </w:p>
    <w:tbl>
      <w:tblPr>
        <w:tblStyle w:val="LightList-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Executive Sponsor (CBO)</w:t>
            </w:r>
          </w:p>
        </w:tc>
        <w:tc>
          <w:tcPr>
            <w:tcW w:type="dxa" w:w="4320"/>
          </w:tcPr>
          <w:p>
            <w:r>
              <w:t>Strategic direction, budget approval, executive escalation</w:t>
            </w:r>
          </w:p>
        </w:tc>
      </w:tr>
      <w:tr>
        <w:tc>
          <w:tcPr>
            <w:tcW w:type="dxa" w:w="4320"/>
          </w:tcPr>
          <w:p>
            <w:r>
              <w:t>Programme Director</w:t>
            </w:r>
          </w:p>
        </w:tc>
        <w:tc>
          <w:tcPr>
            <w:tcW w:type="dxa" w:w="4320"/>
          </w:tcPr>
          <w:p>
            <w:r>
              <w:t>End-to-end delivery accountability, stakeholder management</w:t>
            </w:r>
          </w:p>
        </w:tc>
      </w:tr>
      <w:tr>
        <w:tc>
          <w:tcPr>
            <w:tcW w:type="dxa" w:w="4320"/>
          </w:tcPr>
          <w:p>
            <w:r>
              <w:t>AI/ML Lead</w:t>
            </w:r>
          </w:p>
        </w:tc>
        <w:tc>
          <w:tcPr>
            <w:tcW w:type="dxa" w:w="4320"/>
          </w:tcPr>
          <w:p>
            <w:r>
              <w:t>Model design, training, evaluation, and production monitoring</w:t>
            </w:r>
          </w:p>
        </w:tc>
      </w:tr>
      <w:tr>
        <w:tc>
          <w:tcPr>
            <w:tcW w:type="dxa" w:w="4320"/>
          </w:tcPr>
          <w:p>
            <w:r>
              <w:t>Sales Operations Lead</w:t>
            </w:r>
          </w:p>
        </w:tc>
        <w:tc>
          <w:tcPr>
            <w:tcW w:type="dxa" w:w="4320"/>
          </w:tcPr>
          <w:p>
            <w:r>
              <w:t>Process redesign, change management, UAT sign-off</w:t>
            </w:r>
          </w:p>
        </w:tc>
      </w:tr>
      <w:tr>
        <w:tc>
          <w:tcPr>
            <w:tcW w:type="dxa" w:w="4320"/>
          </w:tcPr>
          <w:p>
            <w:r>
              <w:t>IT Architecture Lead</w:t>
            </w:r>
          </w:p>
        </w:tc>
        <w:tc>
          <w:tcPr>
            <w:tcW w:type="dxa" w:w="4320"/>
          </w:tcPr>
          <w:p>
            <w:r>
              <w:t>Integration design, security review, infrastructure provisioning</w:t>
            </w:r>
          </w:p>
        </w:tc>
      </w:tr>
      <w:tr>
        <w:tc>
          <w:tcPr>
            <w:tcW w:type="dxa" w:w="4320"/>
          </w:tcPr>
          <w:p>
            <w:r>
              <w:t>Data Privacy Officer</w:t>
            </w:r>
          </w:p>
        </w:tc>
        <w:tc>
          <w:tcPr>
            <w:tcW w:type="dxa" w:w="4320"/>
          </w:tcPr>
          <w:p>
            <w:r>
              <w:t>Compliance with DPDP Act 2023, data handling protocols</w:t>
            </w:r>
          </w:p>
        </w:tc>
      </w:tr>
    </w:tbl>
    <w:p/>
    <w:p>
      <w:pPr>
        <w:pStyle w:val="Heading2"/>
      </w:pPr>
      <w:r/>
      <w:r>
        <w:rPr>
          <w:b/>
          <w:color w:val="1F497D"/>
          <w:sz w:val="26"/>
        </w:rPr>
        <w:t>8.2 Key Risks &amp; Mitigations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LLM hallucination in order data extraction</w:t>
            </w:r>
          </w:p>
        </w:tc>
        <w:tc>
          <w:tcPr>
            <w:tcW w:type="dxa" w:w="2160"/>
          </w:tcPr>
          <w:p>
            <w:r>
              <w:t>Medium</w:t>
            </w:r>
          </w:p>
        </w:tc>
        <w:tc>
          <w:tcPr>
            <w:tcW w:type="dxa" w:w="2160"/>
          </w:tcPr>
          <w:p>
            <w:r>
              <w:t>High</w:t>
            </w:r>
          </w:p>
        </w:tc>
        <w:tc>
          <w:tcPr>
            <w:tcW w:type="dxa" w:w="2160"/>
          </w:tcPr>
          <w:p>
            <w:r>
              <w:t>Human-in-the-loop review for low-confidence extractions; output validation rules</w:t>
            </w:r>
          </w:p>
        </w:tc>
      </w:tr>
      <w:tr>
        <w:tc>
          <w:tcPr>
            <w:tcW w:type="dxa" w:w="2160"/>
          </w:tcPr>
          <w:p>
            <w:r>
              <w:t>Legacy system integration delays</w:t>
            </w:r>
          </w:p>
        </w:tc>
        <w:tc>
          <w:tcPr>
            <w:tcW w:type="dxa" w:w="2160"/>
          </w:tcPr>
          <w:p>
            <w:r>
              <w:t>High</w:t>
            </w:r>
          </w:p>
        </w:tc>
        <w:tc>
          <w:tcPr>
            <w:tcW w:type="dxa" w:w="2160"/>
          </w:tcPr>
          <w:p>
            <w:r>
              <w:t>High</w:t>
            </w:r>
          </w:p>
        </w:tc>
        <w:tc>
          <w:tcPr>
            <w:tcW w:type="dxa" w:w="2160"/>
          </w:tcPr>
          <w:p>
            <w:r>
              <w:t>Early API discovery sprint; middleware adapter layer</w:t>
            </w:r>
          </w:p>
        </w:tc>
      </w:tr>
      <w:tr>
        <w:tc>
          <w:tcPr>
            <w:tcW w:type="dxa" w:w="2160"/>
          </w:tcPr>
          <w:p>
            <w:r>
              <w:t>Sales team adoption resistance</w:t>
            </w:r>
          </w:p>
        </w:tc>
        <w:tc>
          <w:tcPr>
            <w:tcW w:type="dxa" w:w="2160"/>
          </w:tcPr>
          <w:p>
            <w:r>
              <w:t>Medium</w:t>
            </w:r>
          </w:p>
        </w:tc>
        <w:tc>
          <w:tcPr>
            <w:tcW w:type="dxa" w:w="2160"/>
          </w:tcPr>
          <w:p>
            <w:r>
              <w:t>Medium</w:t>
            </w:r>
          </w:p>
        </w:tc>
        <w:tc>
          <w:tcPr>
            <w:tcW w:type="dxa" w:w="2160"/>
          </w:tcPr>
          <w:p>
            <w:r>
              <w:t>Structured change management, champions programme, gamified onboarding</w:t>
            </w:r>
          </w:p>
        </w:tc>
      </w:tr>
      <w:tr>
        <w:tc>
          <w:tcPr>
            <w:tcW w:type="dxa" w:w="2160"/>
          </w:tcPr>
          <w:p>
            <w:r>
              <w:t>Data quality issues in historical orders</w:t>
            </w:r>
          </w:p>
        </w:tc>
        <w:tc>
          <w:tcPr>
            <w:tcW w:type="dxa" w:w="2160"/>
          </w:tcPr>
          <w:p>
            <w:r>
              <w:t>High</w:t>
            </w:r>
          </w:p>
        </w:tc>
        <w:tc>
          <w:tcPr>
            <w:tcW w:type="dxa" w:w="2160"/>
          </w:tcPr>
          <w:p>
            <w:r>
              <w:t>Medium</w:t>
            </w:r>
          </w:p>
        </w:tc>
        <w:tc>
          <w:tcPr>
            <w:tcW w:type="dxa" w:w="2160"/>
          </w:tcPr>
          <w:p>
            <w:r>
              <w:t>Data cleansing sprint in Phase 0; ongoing data quality monitoring</w:t>
            </w:r>
          </w:p>
        </w:tc>
      </w:tr>
      <w:tr>
        <w:tc>
          <w:tcPr>
            <w:tcW w:type="dxa" w:w="2160"/>
          </w:tcPr>
          <w:p>
            <w:r>
              <w:t>Regulatory compliance (DPDP / TRAI)</w:t>
            </w:r>
          </w:p>
        </w:tc>
        <w:tc>
          <w:tcPr>
            <w:tcW w:type="dxa" w:w="2160"/>
          </w:tcPr>
          <w:p>
            <w:r>
              <w:t>Low</w:t>
            </w:r>
          </w:p>
        </w:tc>
        <w:tc>
          <w:tcPr>
            <w:tcW w:type="dxa" w:w="2160"/>
          </w:tcPr>
          <w:p>
            <w:r>
              <w:t>High</w:t>
            </w:r>
          </w:p>
        </w:tc>
        <w:tc>
          <w:tcPr>
            <w:tcW w:type="dxa" w:w="2160"/>
          </w:tcPr>
          <w:p>
            <w:r>
              <w:t>Privacy-by-design architecture; DPO review at each phase gate</w:t>
            </w:r>
          </w:p>
        </w:tc>
      </w:tr>
      <w:tr>
        <w:tc>
          <w:tcPr>
            <w:tcW w:type="dxa" w:w="2160"/>
          </w:tcPr>
          <w:p>
            <w:r>
              <w:t>Model performance degradation over time</w:t>
            </w:r>
          </w:p>
        </w:tc>
        <w:tc>
          <w:tcPr>
            <w:tcW w:type="dxa" w:w="2160"/>
          </w:tcPr>
          <w:p>
            <w:r>
              <w:t>Medium</w:t>
            </w:r>
          </w:p>
        </w:tc>
        <w:tc>
          <w:tcPr>
            <w:tcW w:type="dxa" w:w="2160"/>
          </w:tcPr>
          <w:p>
            <w:r>
              <w:t>Medium</w:t>
            </w:r>
          </w:p>
        </w:tc>
        <w:tc>
          <w:tcPr>
            <w:tcW w:type="dxa" w:w="2160"/>
          </w:tcPr>
          <w:p>
            <w:r>
              <w:t>Automated retraining pipeline; monthly model performance reviews</w:t>
            </w:r>
          </w:p>
        </w:tc>
      </w:tr>
    </w:tbl>
    <w:p/>
    <w:p>
      <w:pPr>
        <w:pStyle w:val="Heading1"/>
      </w:pPr>
      <w:r/>
      <w:r>
        <w:rPr>
          <w:b/>
          <w:color w:val="1F497D"/>
          <w:sz w:val="32"/>
        </w:rPr>
        <w:t>9. Investment &amp; ROI Summary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Cost Head</w:t>
            </w:r>
          </w:p>
        </w:tc>
        <w:tc>
          <w:tcPr>
            <w:tcW w:type="dxa" w:w="2160"/>
          </w:tcPr>
          <w:p>
            <w:r>
              <w:rPr>
                <w:b/>
              </w:rPr>
              <w:t>Year 1 (₹ Cr)</w:t>
            </w:r>
          </w:p>
        </w:tc>
        <w:tc>
          <w:tcPr>
            <w:tcW w:type="dxa" w:w="2160"/>
          </w:tcPr>
          <w:p>
            <w:r>
              <w:rPr>
                <w:b/>
              </w:rPr>
              <w:t>Year 2 (₹ Cr)</w:t>
            </w:r>
          </w:p>
        </w:tc>
        <w:tc>
          <w:tcPr>
            <w:tcW w:type="dxa" w:w="2160"/>
          </w:tcPr>
          <w:p>
            <w:r>
              <w:rPr>
                <w:b/>
              </w:rPr>
              <w:t>Year 3 (₹ Cr)</w:t>
            </w:r>
          </w:p>
        </w:tc>
      </w:tr>
      <w:tr>
        <w:tc>
          <w:tcPr>
            <w:tcW w:type="dxa" w:w="2160"/>
          </w:tcPr>
          <w:p>
            <w:r>
              <w:t>Technology &amp; Licensing (LLM APIs, infra)</w:t>
            </w:r>
          </w:p>
        </w:tc>
        <w:tc>
          <w:tcPr>
            <w:tcW w:type="dxa" w:w="2160"/>
          </w:tcPr>
          <w:p>
            <w:r>
              <w:t>3.2</w:t>
            </w:r>
          </w:p>
        </w:tc>
        <w:tc>
          <w:tcPr>
            <w:tcW w:type="dxa" w:w="2160"/>
          </w:tcPr>
          <w:p>
            <w:r>
              <w:t>2.1</w:t>
            </w:r>
          </w:p>
        </w:tc>
        <w:tc>
          <w:tcPr>
            <w:tcW w:type="dxa" w:w="2160"/>
          </w:tcPr>
          <w:p>
            <w:r>
              <w:t>2.1</w:t>
            </w:r>
          </w:p>
        </w:tc>
      </w:tr>
      <w:tr>
        <w:tc>
          <w:tcPr>
            <w:tcW w:type="dxa" w:w="2160"/>
          </w:tcPr>
          <w:p>
            <w:r>
              <w:t>Implementation &amp; Integration</w:t>
            </w:r>
          </w:p>
        </w:tc>
        <w:tc>
          <w:tcPr>
            <w:tcW w:type="dxa" w:w="2160"/>
          </w:tcPr>
          <w:p>
            <w:r>
              <w:t>4.5</w:t>
            </w:r>
          </w:p>
        </w:tc>
        <w:tc>
          <w:tcPr>
            <w:tcW w:type="dxa" w:w="2160"/>
          </w:tcPr>
          <w:p>
            <w:r>
              <w:t>1.2</w:t>
            </w:r>
          </w:p>
        </w:tc>
        <w:tc>
          <w:tcPr>
            <w:tcW w:type="dxa" w:w="2160"/>
          </w:tcPr>
          <w:p>
            <w:r>
              <w:t>0.5</w:t>
            </w:r>
          </w:p>
        </w:tc>
      </w:tr>
      <w:tr>
        <w:tc>
          <w:tcPr>
            <w:tcW w:type="dxa" w:w="2160"/>
          </w:tcPr>
          <w:p>
            <w:r>
              <w:t>Change Management &amp; Training</w:t>
            </w:r>
          </w:p>
        </w:tc>
        <w:tc>
          <w:tcPr>
            <w:tcW w:type="dxa" w:w="2160"/>
          </w:tcPr>
          <w:p>
            <w:r>
              <w:t>0.8</w:t>
            </w:r>
          </w:p>
        </w:tc>
        <w:tc>
          <w:tcPr>
            <w:tcW w:type="dxa" w:w="2160"/>
          </w:tcPr>
          <w:p>
            <w:r>
              <w:t>0.4</w:t>
            </w:r>
          </w:p>
        </w:tc>
        <w:tc>
          <w:tcPr>
            <w:tcW w:type="dxa" w:w="2160"/>
          </w:tcPr>
          <w:p>
            <w:r>
              <w:t>0.2</w:t>
            </w:r>
          </w:p>
        </w:tc>
      </w:tr>
      <w:tr>
        <w:tc>
          <w:tcPr>
            <w:tcW w:type="dxa" w:w="2160"/>
          </w:tcPr>
          <w:p>
            <w:r>
              <w:t>Ongoing Operations &amp; Support</w:t>
            </w:r>
          </w:p>
        </w:tc>
        <w:tc>
          <w:tcPr>
            <w:tcW w:type="dxa" w:w="2160"/>
          </w:tcPr>
          <w:p>
            <w:r>
              <w:t>0.6</w:t>
            </w:r>
          </w:p>
        </w:tc>
        <w:tc>
          <w:tcPr>
            <w:tcW w:type="dxa" w:w="2160"/>
          </w:tcPr>
          <w:p>
            <w:r>
              <w:t>0.9</w:t>
            </w:r>
          </w:p>
        </w:tc>
        <w:tc>
          <w:tcPr>
            <w:tcW w:type="dxa" w:w="2160"/>
          </w:tcPr>
          <w:p>
            <w:r>
              <w:t>1.0</w:t>
            </w:r>
          </w:p>
        </w:tc>
      </w:tr>
      <w:tr>
        <w:tc>
          <w:tcPr>
            <w:tcW w:type="dxa" w:w="2160"/>
          </w:tcPr>
          <w:p>
            <w:r>
              <w:t>Total Investment</w:t>
            </w:r>
          </w:p>
        </w:tc>
        <w:tc>
          <w:tcPr>
            <w:tcW w:type="dxa" w:w="2160"/>
          </w:tcPr>
          <w:p>
            <w:r>
              <w:t>9.1</w:t>
            </w:r>
          </w:p>
        </w:tc>
        <w:tc>
          <w:tcPr>
            <w:tcW w:type="dxa" w:w="2160"/>
          </w:tcPr>
          <w:p>
            <w:r>
              <w:t>4.6</w:t>
            </w:r>
          </w:p>
        </w:tc>
        <w:tc>
          <w:tcPr>
            <w:tcW w:type="dxa" w:w="2160"/>
          </w:tcPr>
          <w:p>
            <w:r>
              <w:t>3.8</w:t>
            </w:r>
          </w:p>
        </w:tc>
      </w:tr>
    </w:tbl>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Benefit Head</w:t>
            </w:r>
          </w:p>
        </w:tc>
        <w:tc>
          <w:tcPr>
            <w:tcW w:type="dxa" w:w="2160"/>
          </w:tcPr>
          <w:p>
            <w:r>
              <w:rPr>
                <w:b/>
              </w:rPr>
              <w:t>Year 1 (₹ Cr)</w:t>
            </w:r>
          </w:p>
        </w:tc>
        <w:tc>
          <w:tcPr>
            <w:tcW w:type="dxa" w:w="2160"/>
          </w:tcPr>
          <w:p>
            <w:r>
              <w:rPr>
                <w:b/>
              </w:rPr>
              <w:t>Year 2 (₹ Cr)</w:t>
            </w:r>
          </w:p>
        </w:tc>
        <w:tc>
          <w:tcPr>
            <w:tcW w:type="dxa" w:w="2160"/>
          </w:tcPr>
          <w:p>
            <w:r>
              <w:rPr>
                <w:b/>
              </w:rPr>
              <w:t>Year 3 (₹ Cr)</w:t>
            </w:r>
          </w:p>
        </w:tc>
      </w:tr>
      <w:tr>
        <w:tc>
          <w:tcPr>
            <w:tcW w:type="dxa" w:w="2160"/>
          </w:tcPr>
          <w:p>
            <w:r>
              <w:t>Operational cost reduction (FTE reallocation)</w:t>
            </w:r>
          </w:p>
        </w:tc>
        <w:tc>
          <w:tcPr>
            <w:tcW w:type="dxa" w:w="2160"/>
          </w:tcPr>
          <w:p>
            <w:r>
              <w:t>2.8</w:t>
            </w:r>
          </w:p>
        </w:tc>
        <w:tc>
          <w:tcPr>
            <w:tcW w:type="dxa" w:w="2160"/>
          </w:tcPr>
          <w:p>
            <w:r>
              <w:t>5.5</w:t>
            </w:r>
          </w:p>
        </w:tc>
        <w:tc>
          <w:tcPr>
            <w:tcW w:type="dxa" w:w="2160"/>
          </w:tcPr>
          <w:p>
            <w:r>
              <w:t>6.2</w:t>
            </w:r>
          </w:p>
        </w:tc>
      </w:tr>
      <w:tr>
        <w:tc>
          <w:tcPr>
            <w:tcW w:type="dxa" w:w="2160"/>
          </w:tcPr>
          <w:p>
            <w:r>
              <w:t>Revenue uplift (faster activation, reduced churn)</w:t>
            </w:r>
          </w:p>
        </w:tc>
        <w:tc>
          <w:tcPr>
            <w:tcW w:type="dxa" w:w="2160"/>
          </w:tcPr>
          <w:p>
            <w:r>
              <w:t>4.0</w:t>
            </w:r>
          </w:p>
        </w:tc>
        <w:tc>
          <w:tcPr>
            <w:tcW w:type="dxa" w:w="2160"/>
          </w:tcPr>
          <w:p>
            <w:r>
              <w:t>8.5</w:t>
            </w:r>
          </w:p>
        </w:tc>
        <w:tc>
          <w:tcPr>
            <w:tcW w:type="dxa" w:w="2160"/>
          </w:tcPr>
          <w:p>
            <w:r>
              <w:t>11.0</w:t>
            </w:r>
          </w:p>
        </w:tc>
      </w:tr>
      <w:tr>
        <w:tc>
          <w:tcPr>
            <w:tcW w:type="dxa" w:w="2160"/>
          </w:tcPr>
          <w:p>
            <w:r>
              <w:t>Rework &amp; error cost avoidance</w:t>
            </w:r>
          </w:p>
        </w:tc>
        <w:tc>
          <w:tcPr>
            <w:tcW w:type="dxa" w:w="2160"/>
          </w:tcPr>
          <w:p>
            <w:r>
              <w:t>1.2</w:t>
            </w:r>
          </w:p>
        </w:tc>
        <w:tc>
          <w:tcPr>
            <w:tcW w:type="dxa" w:w="2160"/>
          </w:tcPr>
          <w:p>
            <w:r>
              <w:t>2.0</w:t>
            </w:r>
          </w:p>
        </w:tc>
        <w:tc>
          <w:tcPr>
            <w:tcW w:type="dxa" w:w="2160"/>
          </w:tcPr>
          <w:p>
            <w:r>
              <w:t>2.4</w:t>
            </w:r>
          </w:p>
        </w:tc>
      </w:tr>
      <w:tr>
        <w:tc>
          <w:tcPr>
            <w:tcW w:type="dxa" w:w="2160"/>
          </w:tcPr>
          <w:p>
            <w:r>
              <w:t>Total Benefits</w:t>
            </w:r>
          </w:p>
        </w:tc>
        <w:tc>
          <w:tcPr>
            <w:tcW w:type="dxa" w:w="2160"/>
          </w:tcPr>
          <w:p>
            <w:r>
              <w:t>8.0</w:t>
            </w:r>
          </w:p>
        </w:tc>
        <w:tc>
          <w:tcPr>
            <w:tcW w:type="dxa" w:w="2160"/>
          </w:tcPr>
          <w:p>
            <w:r>
              <w:t>16.0</w:t>
            </w:r>
          </w:p>
        </w:tc>
        <w:tc>
          <w:tcPr>
            <w:tcW w:type="dxa" w:w="2160"/>
          </w:tcPr>
          <w:p>
            <w:r>
              <w:t>19.6</w:t>
            </w:r>
          </w:p>
        </w:tc>
      </w:tr>
      <w:tr>
        <w:tc>
          <w:tcPr>
            <w:tcW w:type="dxa" w:w="2160"/>
          </w:tcPr>
          <w:p>
            <w:r>
              <w:t>Net Benefit / (Investment)</w:t>
            </w:r>
          </w:p>
        </w:tc>
        <w:tc>
          <w:tcPr>
            <w:tcW w:type="dxa" w:w="2160"/>
          </w:tcPr>
          <w:p>
            <w:r>
              <w:t>(1.1)</w:t>
            </w:r>
          </w:p>
        </w:tc>
        <w:tc>
          <w:tcPr>
            <w:tcW w:type="dxa" w:w="2160"/>
          </w:tcPr>
          <w:p>
            <w:r>
              <w:t>11.4</w:t>
            </w:r>
          </w:p>
        </w:tc>
        <w:tc>
          <w:tcPr>
            <w:tcW w:type="dxa" w:w="2160"/>
          </w:tcPr>
          <w:p>
            <w:r>
              <w:t>15.8</w:t>
            </w:r>
          </w:p>
        </w:tc>
      </w:tr>
    </w:tbl>
    <w:p/>
    <w:p>
      <w:r>
        <w:t>Projected 3-year NPV: ₹21.4 Cr  |  Payback Period: ~16 months</w:t>
      </w:r>
    </w:p>
    <w:p>
      <w:pPr>
        <w:pStyle w:val="Heading1"/>
      </w:pPr>
      <w:r/>
      <w:r>
        <w:rPr>
          <w:b/>
          <w:color w:val="1F497D"/>
          <w:sz w:val="32"/>
        </w:rPr>
        <w:t>10. Next Steps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 Date</w:t>
            </w:r>
          </w:p>
        </w:tc>
      </w:tr>
      <w:tr>
        <w:tc>
          <w:tcPr>
            <w:tcW w:type="dxa" w:w="2880"/>
          </w:tcPr>
          <w:p>
            <w:r>
              <w:t>Obtain executive sign-off on initiative charter</w:t>
            </w:r>
          </w:p>
        </w:tc>
        <w:tc>
          <w:tcPr>
            <w:tcW w:type="dxa" w:w="2880"/>
          </w:tcPr>
          <w:p>
            <w:r>
              <w:t>Programme Director</w:t>
            </w:r>
          </w:p>
        </w:tc>
        <w:tc>
          <w:tcPr>
            <w:tcW w:type="dxa" w:w="2880"/>
          </w:tcPr>
          <w:p>
            <w:r>
              <w:t>30 April 2026</w:t>
            </w:r>
          </w:p>
        </w:tc>
      </w:tr>
      <w:tr>
        <w:tc>
          <w:tcPr>
            <w:tcW w:type="dxa" w:w="2880"/>
          </w:tcPr>
          <w:p>
            <w:r>
              <w:t>Complete vendor shortlisting for LLM platform</w:t>
            </w:r>
          </w:p>
        </w:tc>
        <w:tc>
          <w:tcPr>
            <w:tcW w:type="dxa" w:w="2880"/>
          </w:tcPr>
          <w:p>
            <w:r>
              <w:t>AI/ML Lead + Procurement</w:t>
            </w:r>
          </w:p>
        </w:tc>
        <w:tc>
          <w:tcPr>
            <w:tcW w:type="dxa" w:w="2880"/>
          </w:tcPr>
          <w:p>
            <w:r>
              <w:t>15 May 2026</w:t>
            </w:r>
          </w:p>
        </w:tc>
      </w:tr>
      <w:tr>
        <w:tc>
          <w:tcPr>
            <w:tcW w:type="dxa" w:w="2880"/>
          </w:tcPr>
          <w:p>
            <w:r>
              <w:t>Kick off AS-IS process mapping workshops</w:t>
            </w:r>
          </w:p>
        </w:tc>
        <w:tc>
          <w:tcPr>
            <w:tcW w:type="dxa" w:w="2880"/>
          </w:tcPr>
          <w:p>
            <w:r>
              <w:t>Sales Ops Lead</w:t>
            </w:r>
          </w:p>
        </w:tc>
        <w:tc>
          <w:tcPr>
            <w:tcW w:type="dxa" w:w="2880"/>
          </w:tcPr>
          <w:p>
            <w:r>
              <w:t>5 May 2026</w:t>
            </w:r>
          </w:p>
        </w:tc>
      </w:tr>
      <w:tr>
        <w:tc>
          <w:tcPr>
            <w:tcW w:type="dxa" w:w="2880"/>
          </w:tcPr>
          <w:p>
            <w:r>
              <w:t>Initiate API discovery with IT for CRM/ERP/provisioning systems</w:t>
            </w:r>
          </w:p>
        </w:tc>
        <w:tc>
          <w:tcPr>
            <w:tcW w:type="dxa" w:w="2880"/>
          </w:tcPr>
          <w:p>
            <w:r>
              <w:t>IT Architecture Lead</w:t>
            </w:r>
          </w:p>
        </w:tc>
        <w:tc>
          <w:tcPr>
            <w:tcW w:type="dxa" w:w="2880"/>
          </w:tcPr>
          <w:p>
            <w:r>
              <w:t>10 May 2026</w:t>
            </w:r>
          </w:p>
        </w:tc>
      </w:tr>
      <w:tr>
        <w:tc>
          <w:tcPr>
            <w:tcW w:type="dxa" w:w="2880"/>
          </w:tcPr>
          <w:p>
            <w:r>
              <w:t>Establish data governance working group</w:t>
            </w:r>
          </w:p>
        </w:tc>
        <w:tc>
          <w:tcPr>
            <w:tcW w:type="dxa" w:w="2880"/>
          </w:tcPr>
          <w:p>
            <w:r>
              <w:t>Data Privacy Officer</w:t>
            </w:r>
          </w:p>
        </w:tc>
        <w:tc>
          <w:tcPr>
            <w:tcW w:type="dxa" w:w="2880"/>
          </w:tcPr>
          <w:p>
            <w:r>
              <w:t>12 May 2026</w:t>
            </w:r>
          </w:p>
        </w:tc>
      </w:tr>
      <w:tr>
        <w:tc>
          <w:tcPr>
            <w:tcW w:type="dxa" w:w="2880"/>
          </w:tcPr>
          <w:p>
            <w:r>
              <w:t>Publish detailed Phase 1 project plan</w:t>
            </w:r>
          </w:p>
        </w:tc>
        <w:tc>
          <w:tcPr>
            <w:tcW w:type="dxa" w:w="2880"/>
          </w:tcPr>
          <w:p>
            <w:r>
              <w:t>Programme Director</w:t>
            </w:r>
          </w:p>
        </w:tc>
        <w:tc>
          <w:tcPr>
            <w:tcW w:type="dxa" w:w="2880"/>
          </w:tcPr>
          <w:p>
            <w:r>
              <w:t>20 May 2026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