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AB1A28">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80410"/>
            <w:tcMar>
              <w:top w:w="320" w:type="dxa"/>
              <w:left w:w="280" w:type="dxa"/>
              <w:bottom w:w="320" w:type="dxa"/>
              <w:right w:w="280" w:type="dxa"/>
            </w:tcMar>
          </w:tcPr>
          <w:p w:rsidR="00AB1A28" w:rsidRDefault="00000000">
            <w:pPr>
              <w:spacing w:after="60"/>
            </w:pPr>
            <w:r>
              <w:rPr>
                <w:rFonts w:ascii="Calibri" w:eastAsia="Calibri" w:hAnsi="Calibri" w:cs="Calibri"/>
                <w:b/>
                <w:bCs/>
                <w:color w:val="D4BEC4"/>
                <w:spacing w:val="120"/>
                <w:sz w:val="18"/>
                <w:szCs w:val="18"/>
              </w:rPr>
              <w:t>CONCEPT NOTE</w:t>
            </w:r>
          </w:p>
          <w:p w:rsidR="00AB1A28" w:rsidRDefault="00000000">
            <w:pPr>
              <w:spacing w:after="40"/>
            </w:pPr>
            <w:r>
              <w:rPr>
                <w:b/>
                <w:bCs/>
                <w:color w:val="FFFFFF"/>
                <w:sz w:val="56"/>
                <w:szCs w:val="56"/>
              </w:rPr>
              <w:t>FemSaidia Kenya</w:t>
            </w:r>
          </w:p>
          <w:p w:rsidR="00AB1A28" w:rsidRDefault="00000000">
            <w:pPr>
              <w:spacing w:after="60"/>
            </w:pPr>
            <w:r>
              <w:rPr>
                <w:i/>
                <w:iCs/>
                <w:color w:val="D4BEC4"/>
              </w:rPr>
              <w:t>Femicide Intelligence Platform · Safety Tools · Community Action</w:t>
            </w:r>
          </w:p>
          <w:p w:rsidR="00AB1A28" w:rsidRDefault="00000000">
            <w:r>
              <w:rPr>
                <w:rFonts w:ascii="Calibri" w:eastAsia="Calibri" w:hAnsi="Calibri" w:cs="Calibri"/>
                <w:color w:val="D4BEC4"/>
                <w:sz w:val="18"/>
                <w:szCs w:val="18"/>
              </w:rPr>
              <w:t>Community Media Trust  ·  Victor Ombonya, Lead Developer  ·  May 2026</w:t>
            </w:r>
          </w:p>
        </w:tc>
      </w:tr>
      <w:tr w:rsidR="00AB1A28">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8A1030"/>
            <w:tcMar>
              <w:top w:w="100" w:type="dxa"/>
              <w:left w:w="280" w:type="dxa"/>
              <w:bottom w:w="100" w:type="dxa"/>
              <w:right w:w="280" w:type="dxa"/>
            </w:tcMar>
          </w:tcPr>
          <w:p w:rsidR="00AB1A28" w:rsidRDefault="00000000">
            <w:r>
              <w:rPr>
                <w:rFonts w:ascii="Calibri" w:eastAsia="Calibri" w:hAnsi="Calibri" w:cs="Calibri"/>
                <w:b/>
                <w:bCs/>
                <w:color w:val="FFFFFF"/>
              </w:rPr>
              <w:t>Ending femicide through data, technology and community agency</w:t>
            </w:r>
          </w:p>
        </w:tc>
      </w:tr>
    </w:tbl>
    <w:p w:rsidR="00AB1A28" w:rsidRDefault="00AB1A28">
      <w:pPr>
        <w:spacing w:before="200"/>
      </w:pPr>
    </w:p>
    <w:p w:rsidR="00AB1A28" w:rsidRDefault="00000000">
      <w:pPr>
        <w:pBdr>
          <w:bottom w:val="single" w:sz="12" w:space="0" w:color="8A1030"/>
        </w:pBdr>
        <w:spacing w:before="280" w:after="80"/>
      </w:pPr>
      <w:r>
        <w:rPr>
          <w:rFonts w:ascii="Calibri" w:eastAsia="Calibri" w:hAnsi="Calibri" w:cs="Calibri"/>
          <w:b/>
          <w:bCs/>
          <w:color w:val="8A1030"/>
          <w:spacing w:val="80"/>
          <w:sz w:val="24"/>
          <w:szCs w:val="24"/>
        </w:rPr>
        <w:t>1.  BACKGROUND AND PROBLEM STATEMENT</w:t>
      </w:r>
    </w:p>
    <w:p w:rsidR="00AB1A28" w:rsidRDefault="00000000">
      <w:pPr>
        <w:spacing w:before="80" w:after="80"/>
      </w:pPr>
      <w:r>
        <w:rPr>
          <w:color w:val="4A4A4A"/>
        </w:rPr>
        <w:t>Kenya is experiencing a femicide crisis of documented severity. A woman is killed every 47 hours. Since 2014, over 600 cases have been reported across media, civil society organisations and police records — yet fewer than 3% have resulted in a conviction, and 83% of cases never reach prosecution. The problem is not the absence of laws. Kenya has the Sexual Offences Act, the Protection Against Domestic Violence Act 2015, and obligations under CEDAW, the Maputo Protocol and the Beijing Platform for Action. The problem is systemic failure at every stage — data, investigation, prosecution, survivor support and public accountability.</w:t>
      </w:r>
    </w:p>
    <w:p w:rsidR="00AB1A28" w:rsidRDefault="00000000">
      <w:pPr>
        <w:spacing w:before="80" w:after="80"/>
      </w:pPr>
      <w:r>
        <w:rPr>
          <w:color w:val="4A4A4A"/>
        </w:rPr>
        <w:t>Three specific gaps drive this failure:</w:t>
      </w:r>
    </w:p>
    <w:p w:rsidR="00AB1A28" w:rsidRDefault="00000000">
      <w:pPr>
        <w:pStyle w:val="ListParagraph"/>
        <w:numPr>
          <w:ilvl w:val="0"/>
          <w:numId w:val="2"/>
        </w:numPr>
        <w:spacing w:before="60"/>
      </w:pPr>
      <w:r>
        <w:rPr>
          <w:color w:val="4A4A4A"/>
        </w:rPr>
        <w:t>No centralised, verified, publicly accessible femicide database. Cases are reported sporadically across media, police stations and CSOs. Policymakers, advocates and researchers have been operating without a shared evidence base.</w:t>
      </w:r>
    </w:p>
    <w:p w:rsidR="00AB1A28" w:rsidRDefault="00000000">
      <w:pPr>
        <w:pStyle w:val="ListParagraph"/>
        <w:numPr>
          <w:ilvl w:val="0"/>
          <w:numId w:val="2"/>
        </w:numPr>
        <w:spacing w:before="60"/>
      </w:pPr>
      <w:r>
        <w:rPr>
          <w:color w:val="4A4A4A"/>
        </w:rPr>
        <w:t>No digital safety tools designed specifically for women at risk in Kenya. Existing safety apps require smartphones and internet access, putting them out of reach for women in rural areas, abusive households or low-income settings. No USSD shortcode has ever been built specifically for femicide-risk scenarios.</w:t>
      </w:r>
    </w:p>
    <w:p w:rsidR="00AB1A28" w:rsidRDefault="00000000">
      <w:pPr>
        <w:pStyle w:val="ListParagraph"/>
        <w:numPr>
          <w:ilvl w:val="0"/>
          <w:numId w:val="2"/>
        </w:numPr>
        <w:spacing w:before="60"/>
      </w:pPr>
      <w:r>
        <w:rPr>
          <w:color w:val="4A4A4A"/>
        </w:rPr>
        <w:t>No ecosystem coordination infrastructure. Government, CSOs, legal aid organisations, media and donors respond in silos. No shared platform connects their efforts, aligns their data or amplifies their collective impact.</w:t>
      </w:r>
    </w:p>
    <w:p w:rsidR="00AB1A28" w:rsidRDefault="00000000">
      <w:pPr>
        <w:spacing w:before="120"/>
      </w:pPr>
      <w:r>
        <w:rPr>
          <w:color w:val="4A4A4A"/>
        </w:rPr>
        <w:t>FemSaidia Kenya was built in direct response to these three gaps.</w:t>
      </w:r>
    </w:p>
    <w:p w:rsidR="00AB1A28" w:rsidRDefault="00000000">
      <w:pPr>
        <w:pBdr>
          <w:bottom w:val="single" w:sz="12" w:space="0" w:color="8A1030"/>
        </w:pBdr>
        <w:spacing w:before="280" w:after="80"/>
      </w:pPr>
      <w:r>
        <w:rPr>
          <w:rFonts w:ascii="Calibri" w:eastAsia="Calibri" w:hAnsi="Calibri" w:cs="Calibri"/>
          <w:b/>
          <w:bCs/>
          <w:color w:val="8A1030"/>
          <w:spacing w:val="80"/>
          <w:sz w:val="24"/>
          <w:szCs w:val="24"/>
        </w:rPr>
        <w:t>2.  THE SOLUTION — AN INTEGRATED SIX-TOOL ECOSYSTEM</w:t>
      </w:r>
    </w:p>
    <w:p w:rsidR="00AB1A28" w:rsidRDefault="00000000">
      <w:pPr>
        <w:spacing w:before="80" w:after="80"/>
      </w:pPr>
      <w:r>
        <w:rPr>
          <w:color w:val="4A4A4A"/>
        </w:rPr>
        <w:t>FemSaidia Kenya is an integrated digital ecosystem of six connected tools that addresses the femicide crisis simultaneously at the intelligence, immediate safety and universal access levels. All three tiers are built, deployed and live.</w:t>
      </w:r>
    </w:p>
    <w:p w:rsidR="00AB1A28" w:rsidRDefault="00000000">
      <w:pPr>
        <w:spacing w:before="200" w:after="60"/>
      </w:pPr>
      <w:r>
        <w:rPr>
          <w:b/>
          <w:bCs/>
          <w:color w:val="180410"/>
        </w:rPr>
        <w:t>Tool 1: FemSaidia Kenya — femsaidiakenya.org</w:t>
      </w:r>
    </w:p>
    <w:p w:rsidR="00AB1A28" w:rsidRDefault="00000000">
      <w:pPr>
        <w:spacing w:before="80" w:after="80"/>
      </w:pPr>
      <w:r>
        <w:rPr>
          <w:color w:val="4A4A4A"/>
        </w:rPr>
        <w:t>A femicide intelligence and coordination platform, invite-gated for safety, serving a growing network of civil society organisations, legal aid providers, data researchers and gender justice advocates across Kenya. Key components:</w:t>
      </w:r>
    </w:p>
    <w:p w:rsidR="00AB1A28" w:rsidRDefault="00000000">
      <w:pPr>
        <w:pStyle w:val="ListParagraph"/>
        <w:numPr>
          <w:ilvl w:val="0"/>
          <w:numId w:val="2"/>
        </w:numPr>
        <w:spacing w:before="60"/>
      </w:pPr>
      <w:r>
        <w:rPr>
          <w:b/>
          <w:bCs/>
          <w:color w:val="180410"/>
        </w:rPr>
        <w:t xml:space="preserve">Live Case Tracker: </w:t>
      </w:r>
      <w:r>
        <w:rPr>
          <w:color w:val="4A4A4A"/>
        </w:rPr>
        <w:t xml:space="preserve"> 35 verified femicide cases with detailed justice status, county breakdown, perpetrator relationship data and a justice funnel showing exactly where cases disappear from the system. Cases are manually verified by the Community Media Trust admin team and sourced from NGEC reports, court records, news media and community documentation.</w:t>
      </w:r>
    </w:p>
    <w:p w:rsidR="00AB1A28" w:rsidRDefault="00000000">
      <w:pPr>
        <w:pStyle w:val="ListParagraph"/>
        <w:numPr>
          <w:ilvl w:val="0"/>
          <w:numId w:val="2"/>
        </w:numPr>
        <w:spacing w:before="60"/>
      </w:pPr>
      <w:r>
        <w:rPr>
          <w:b/>
          <w:bCs/>
          <w:color w:val="180410"/>
        </w:rPr>
        <w:t xml:space="preserve">Resource Library: </w:t>
      </w:r>
      <w:r>
        <w:rPr>
          <w:color w:val="4A4A4A"/>
        </w:rPr>
        <w:t xml:space="preserve"> 27 verified resources including datasets, legal guides, research reports and media content — filterable by category and year.</w:t>
      </w:r>
    </w:p>
    <w:p w:rsidR="00AB1A28" w:rsidRDefault="00000000">
      <w:pPr>
        <w:pStyle w:val="ListParagraph"/>
        <w:numPr>
          <w:ilvl w:val="0"/>
          <w:numId w:val="2"/>
        </w:numPr>
        <w:spacing w:before="60"/>
      </w:pPr>
      <w:r>
        <w:rPr>
          <w:b/>
          <w:bCs/>
          <w:color w:val="180410"/>
        </w:rPr>
        <w:t xml:space="preserve">Red Flag Profiles: </w:t>
      </w:r>
      <w:r>
        <w:rPr>
          <w:color w:val="4A4A4A"/>
        </w:rPr>
        <w:t xml:space="preserve"> A community-sourced database allowing submission of profiles of known perpetrators. Includes a counter-report mechanism and social sharing.</w:t>
      </w:r>
    </w:p>
    <w:p w:rsidR="00AB1A28" w:rsidRDefault="00000000">
      <w:pPr>
        <w:pStyle w:val="ListParagraph"/>
        <w:numPr>
          <w:ilvl w:val="0"/>
          <w:numId w:val="2"/>
        </w:numPr>
        <w:spacing w:before="60"/>
      </w:pPr>
      <w:r>
        <w:rPr>
          <w:b/>
          <w:bCs/>
          <w:color w:val="180410"/>
        </w:rPr>
        <w:lastRenderedPageBreak/>
        <w:t xml:space="preserve">Survival Guide: </w:t>
      </w:r>
      <w:r>
        <w:rPr>
          <w:color w:val="4A4A4A"/>
        </w:rPr>
        <w:t xml:space="preserve"> Evidence-based safety protocols covering immediate danger, online dating safety, intimate partner escalation, leaving safely, and law enforcement escalation — adapted specifically for the Kenyan context.</w:t>
      </w:r>
    </w:p>
    <w:p w:rsidR="00AB1A28" w:rsidRDefault="00000000">
      <w:pPr>
        <w:pStyle w:val="ListParagraph"/>
        <w:numPr>
          <w:ilvl w:val="0"/>
          <w:numId w:val="2"/>
        </w:numPr>
        <w:spacing w:before="60"/>
      </w:pPr>
      <w:r>
        <w:rPr>
          <w:b/>
          <w:bCs/>
          <w:color w:val="180410"/>
        </w:rPr>
        <w:t xml:space="preserve">Community Petition: </w:t>
      </w:r>
      <w:r>
        <w:rPr>
          <w:color w:val="4A4A4A"/>
        </w:rPr>
        <w:t xml:space="preserve"> A live, Supabase-backed petition with four concrete demands to the Kenyan government. Real-time signature counter.</w:t>
      </w:r>
    </w:p>
    <w:p w:rsidR="00AB1A28" w:rsidRDefault="00000000">
      <w:pPr>
        <w:pStyle w:val="ListParagraph"/>
        <w:numPr>
          <w:ilvl w:val="0"/>
          <w:numId w:val="2"/>
        </w:numPr>
        <w:spacing w:before="60"/>
      </w:pPr>
      <w:r>
        <w:rPr>
          <w:b/>
          <w:bCs/>
          <w:color w:val="180410"/>
        </w:rPr>
        <w:t xml:space="preserve">Socials &amp; Sentiment: </w:t>
      </w:r>
      <w:r>
        <w:rPr>
          <w:color w:val="4A4A4A"/>
        </w:rPr>
        <w:t xml:space="preserve"> A Misogyny Index that scores online GBV sentiment daily, powered by an RSS scanner that classifies Kenyan media content in real time.</w:t>
      </w:r>
    </w:p>
    <w:p w:rsidR="00AB1A28" w:rsidRDefault="00000000">
      <w:pPr>
        <w:pStyle w:val="ListParagraph"/>
        <w:numPr>
          <w:ilvl w:val="0"/>
          <w:numId w:val="2"/>
        </w:numPr>
        <w:spacing w:before="60"/>
      </w:pPr>
      <w:r>
        <w:rPr>
          <w:b/>
          <w:bCs/>
          <w:color w:val="180410"/>
        </w:rPr>
        <w:t xml:space="preserve">CSO Network: </w:t>
      </w:r>
      <w:r>
        <w:rPr>
          <w:color w:val="4A4A4A"/>
        </w:rPr>
        <w:t xml:space="preserve"> 12 critical stakeholder organisations whose participation enables the platform to fulfil its mandate.</w:t>
      </w:r>
    </w:p>
    <w:p w:rsidR="00AB1A28" w:rsidRDefault="00000000">
      <w:pPr>
        <w:spacing w:before="200" w:after="60"/>
      </w:pPr>
      <w:r>
        <w:rPr>
          <w:b/>
          <w:bCs/>
          <w:color w:val="180410"/>
        </w:rPr>
        <w:t>Tool 2: hepa — hepa.femsaidiakenya.org</w:t>
      </w:r>
    </w:p>
    <w:p w:rsidR="00AB1A28" w:rsidRDefault="00000000">
      <w:pPr>
        <w:spacing w:before="80" w:after="80"/>
      </w:pPr>
      <w:r>
        <w:rPr>
          <w:color w:val="4A4A4A"/>
        </w:rPr>
        <w:t>A smartphone safety app built specifically for women at risk of intimate partner violence. hepa is designed with a critical safety feature: it is disguised as a fully functional iOS-style calculator on the phone home screen. The app name is "Calculator". An abuser who picks up the phone sees a standard calculator — indistinguishable from the native app.</w:t>
      </w:r>
    </w:p>
    <w:p w:rsidR="00AB1A28" w:rsidRDefault="00000000">
      <w:pPr>
        <w:spacing w:before="80" w:after="80"/>
      </w:pPr>
      <w:r>
        <w:rPr>
          <w:color w:val="4A4A4A"/>
        </w:rPr>
        <w:t>To access hepa, the user holds the = button for three seconds, triggering a reveal animation. Once inside, hepa provides:</w:t>
      </w:r>
    </w:p>
    <w:p w:rsidR="00AB1A28" w:rsidRDefault="00000000">
      <w:pPr>
        <w:pStyle w:val="ListParagraph"/>
        <w:numPr>
          <w:ilvl w:val="0"/>
          <w:numId w:val="2"/>
        </w:numPr>
        <w:spacing w:before="60"/>
      </w:pPr>
      <w:r>
        <w:rPr>
          <w:b/>
          <w:bCs/>
          <w:color w:val="180410"/>
        </w:rPr>
        <w:t xml:space="preserve">Panic button: </w:t>
      </w:r>
      <w:r>
        <w:rPr>
          <w:color w:val="4A4A4A"/>
        </w:rPr>
        <w:t xml:space="preserve"> One tap sends a precise GPS location to a pre-set trusted contact via WhatsApp and SMS, and displays an immediate 999 call button.</w:t>
      </w:r>
    </w:p>
    <w:p w:rsidR="00AB1A28" w:rsidRDefault="00000000">
      <w:pPr>
        <w:pStyle w:val="ListParagraph"/>
        <w:numPr>
          <w:ilvl w:val="0"/>
          <w:numId w:val="2"/>
        </w:numPr>
        <w:spacing w:before="60"/>
      </w:pPr>
      <w:r>
        <w:rPr>
          <w:b/>
          <w:bCs/>
          <w:color w:val="180410"/>
        </w:rPr>
        <w:t xml:space="preserve">Shake-to-alert: </w:t>
      </w:r>
      <w:r>
        <w:rPr>
          <w:color w:val="4A4A4A"/>
        </w:rPr>
        <w:t xml:space="preserve"> The phone can be shaken to trigger the same panic alert — activating the safety response without any screen interaction.</w:t>
      </w:r>
    </w:p>
    <w:p w:rsidR="00AB1A28" w:rsidRDefault="00000000">
      <w:pPr>
        <w:pStyle w:val="ListParagraph"/>
        <w:numPr>
          <w:ilvl w:val="0"/>
          <w:numId w:val="2"/>
        </w:numPr>
        <w:spacing w:before="60"/>
      </w:pPr>
      <w:r>
        <w:rPr>
          <w:b/>
          <w:bCs/>
          <w:color w:val="180410"/>
        </w:rPr>
        <w:t xml:space="preserve">Check-in timer: </w:t>
      </w:r>
      <w:r>
        <w:rPr>
          <w:color w:val="4A4A4A"/>
        </w:rPr>
        <w:t xml:space="preserve"> A countdown that, if not cancelled, automatically fires a WhatsApp alert to the trusted contact with the user's last known location.</w:t>
      </w:r>
    </w:p>
    <w:p w:rsidR="00AB1A28" w:rsidRDefault="00000000">
      <w:pPr>
        <w:pStyle w:val="ListParagraph"/>
        <w:numPr>
          <w:ilvl w:val="0"/>
          <w:numId w:val="2"/>
        </w:numPr>
        <w:spacing w:before="60"/>
      </w:pPr>
      <w:r>
        <w:rPr>
          <w:b/>
          <w:bCs/>
          <w:color w:val="180410"/>
        </w:rPr>
        <w:t xml:space="preserve">Offline survival guide: </w:t>
      </w:r>
      <w:r>
        <w:rPr>
          <w:color w:val="4A4A4A"/>
        </w:rPr>
        <w:t xml:space="preserve"> Four safety protocol sections available without internet: immediate danger response, online dating safety, leaving safely, and police escalation.</w:t>
      </w:r>
    </w:p>
    <w:p w:rsidR="00AB1A28" w:rsidRDefault="00000000">
      <w:pPr>
        <w:pStyle w:val="ListParagraph"/>
        <w:numPr>
          <w:ilvl w:val="0"/>
          <w:numId w:val="2"/>
        </w:numPr>
        <w:spacing w:before="60"/>
      </w:pPr>
      <w:r>
        <w:rPr>
          <w:b/>
          <w:bCs/>
          <w:color w:val="180410"/>
        </w:rPr>
        <w:t xml:space="preserve">Emergency contacts: </w:t>
      </w:r>
      <w:r>
        <w:rPr>
          <w:color w:val="4A4A4A"/>
        </w:rPr>
        <w:t xml:space="preserve"> One-tap dial for police, DCI Gender Desk, GVRC, Usikimye, FIDA Kenya and Kituo Cha Sheria.</w:t>
      </w:r>
    </w:p>
    <w:p w:rsidR="00AB1A28" w:rsidRDefault="00000000">
      <w:pPr>
        <w:pStyle w:val="ListParagraph"/>
        <w:numPr>
          <w:ilvl w:val="0"/>
          <w:numId w:val="2"/>
        </w:numPr>
        <w:spacing w:before="60"/>
      </w:pPr>
      <w:r>
        <w:rPr>
          <w:b/>
          <w:bCs/>
          <w:color w:val="180410"/>
        </w:rPr>
        <w:t xml:space="preserve">Privacy by design: </w:t>
      </w:r>
      <w:r>
        <w:rPr>
          <w:color w:val="4A4A4A"/>
        </w:rPr>
        <w:t xml:space="preserve"> No account required, no registration, no data stored on any server. Everything is stored locally on the user's device.</w:t>
      </w:r>
    </w:p>
    <w:p w:rsidR="00AB1A28" w:rsidRDefault="00000000">
      <w:pPr>
        <w:spacing w:before="200" w:after="60"/>
      </w:pPr>
      <w:r>
        <w:rPr>
          <w:b/>
          <w:bCs/>
          <w:color w:val="180410"/>
        </w:rPr>
        <w:t>Tool 3: Salmin USSD Shortcode — *384*89056#</w:t>
      </w:r>
    </w:p>
    <w:p w:rsidR="00AB1A28" w:rsidRDefault="00000000">
      <w:pPr>
        <w:spacing w:before="80" w:after="80"/>
      </w:pPr>
      <w:r>
        <w:rPr>
          <w:color w:val="4A4A4A"/>
        </w:rPr>
        <w:t>A bilingual (Swahili/English) USSD shortcode accessible from any mobile phone, on any network, without internet or data. The shortcode reaches women who do not own smartphones, live in areas with only 2G connectivity, or cannot safely access a web application. Cost to user: Ksh 1.25 per session.</w:t>
      </w:r>
    </w:p>
    <w:p w:rsidR="00AB1A28" w:rsidRDefault="00000000">
      <w:pPr>
        <w:spacing w:before="80" w:after="80"/>
      </w:pPr>
      <w:r>
        <w:rPr>
          <w:color w:val="4A4A4A"/>
        </w:rPr>
        <w:t>The USSD menu provides: emergency contacts with one-dial access, safety protocols for immediate danger, protocols for leaving an abusive partner, guidance on what to do when police dismiss a report, and incident reporting pathways. The backend is deployed on Supabase Edge Functions with Africa's Talking as the telecom provider. A production shortcode application has been submitted and is pending activation.</w:t>
      </w:r>
    </w:p>
    <w:p w:rsidR="00AB1A28" w:rsidRDefault="00000000">
      <w:pPr>
        <w:spacing w:before="200" w:after="60"/>
      </w:pPr>
      <w:r>
        <w:rPr>
          <w:b/>
          <w:bCs/>
          <w:color w:val="180410"/>
        </w:rPr>
        <w:t>Tool 4: Red Flag — redflag.femsaidiakenya.org</w:t>
      </w:r>
    </w:p>
    <w:p w:rsidR="00AB1A28" w:rsidRDefault="00000000">
      <w:pPr>
        <w:spacing w:before="80" w:after="80"/>
      </w:pPr>
      <w:r>
        <w:rPr>
          <w:color w:val="4A4A4A"/>
        </w:rPr>
        <w:t>A tri-lingual safety-intelligence PWA, now available in English, Kiswahili and Sheng. Four archetypes — The Naive, The Precocious, The All-In and The On/Off — deliver tailored red flags, protective measures and survivor voices. JiJue (know yourself), JiTume (take action — the ecosystem around her) and LindaLinda (community safety norms), alongside a curated We Remember memorial and a community-verified perpetrator database.</w:t>
      </w:r>
    </w:p>
    <w:p w:rsidR="00AB1A28" w:rsidRDefault="00000000">
      <w:pPr>
        <w:spacing w:before="200" w:after="60"/>
      </w:pPr>
      <w:r>
        <w:rPr>
          <w:b/>
          <w:bCs/>
          <w:color w:val="180410"/>
        </w:rPr>
        <w:t>Tool 5: Itika — itika.femsaidiakenya.org</w:t>
      </w:r>
    </w:p>
    <w:p w:rsidR="00AB1A28" w:rsidRDefault="00000000">
      <w:pPr>
        <w:spacing w:before="80" w:after="80"/>
      </w:pPr>
      <w:r>
        <w:rPr>
          <w:color w:val="4A4A4A"/>
        </w:rPr>
        <w:t>A verified First Responder Network — the community layer between a distress signal and the police. A hepa panic, a check-in-timer expiry or a Red Flag SOS fires an instant, county-routed push notification to trained, vetted responders (boda-boda riders, community health workers, SRHR advocates, faith leaders) who reach a survivor within minutes, accompany her and refer her onward.</w:t>
      </w:r>
    </w:p>
    <w:p w:rsidR="00AB1A28" w:rsidRDefault="00000000">
      <w:pPr>
        <w:spacing w:before="200" w:after="60"/>
      </w:pPr>
      <w:r>
        <w:rPr>
          <w:b/>
          <w:bCs/>
          <w:color w:val="180410"/>
        </w:rPr>
        <w:t>Tool 6: SaInt — saint.femsaidiakenya.org</w:t>
      </w:r>
    </w:p>
    <w:p w:rsidR="00AB1A28" w:rsidRDefault="00000000">
      <w:pPr>
        <w:spacing w:before="80" w:after="80"/>
      </w:pPr>
      <w:r>
        <w:rPr>
          <w:color w:val="4A4A4A"/>
        </w:rPr>
        <w:lastRenderedPageBreak/>
        <w:t>The intelligence and fundraising desk (Saidia Intelligence). A live field-intelligence dashboard — Misogyny Index, case counts and tech-facilitated GBV — a Claude-powered synthesis brief, ThinkTank projects mapped to the SDGs and the Maputo Protocol, downloadable Intel Briefs and partnership pathways for funders.</w:t>
      </w:r>
    </w:p>
    <w:p w:rsidR="00AB1A28" w:rsidRDefault="00000000">
      <w:pPr>
        <w:pBdr>
          <w:bottom w:val="single" w:sz="12" w:space="0" w:color="8A1030"/>
        </w:pBdr>
        <w:spacing w:before="280" w:after="80"/>
      </w:pPr>
      <w:r>
        <w:rPr>
          <w:rFonts w:ascii="Calibri" w:eastAsia="Calibri" w:hAnsi="Calibri" w:cs="Calibri"/>
          <w:b/>
          <w:bCs/>
          <w:color w:val="8A1030"/>
          <w:spacing w:val="80"/>
          <w:sz w:val="24"/>
          <w:szCs w:val="24"/>
        </w:rPr>
        <w:t>3.  CRITICAL STAKEHOLDERS</w:t>
      </w:r>
    </w:p>
    <w:p w:rsidR="00AB1A28" w:rsidRDefault="00000000">
      <w:pPr>
        <w:spacing w:before="80" w:after="80"/>
      </w:pPr>
      <w:r>
        <w:rPr>
          <w:color w:val="4A4A4A"/>
        </w:rPr>
        <w:t>The following organisations</w:t>
      </w:r>
      <w:r w:rsidR="00583289">
        <w:rPr>
          <w:color w:val="4A4A4A"/>
          <w:lang w:val="en-US"/>
        </w:rPr>
        <w:t xml:space="preserve"> (not exhaustive)</w:t>
      </w:r>
      <w:r>
        <w:rPr>
          <w:color w:val="4A4A4A"/>
        </w:rPr>
        <w:t xml:space="preserve"> are critical stakeholders whose participation enables FemSaidia Kenya to fulfil its mandate. They represent civil society, data and research, legal and institutional sectors.</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21"/>
        <w:gridCol w:w="2535"/>
        <w:gridCol w:w="3450"/>
      </w:tblGrid>
      <w:tr w:rsidR="00AB1A28">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8A1030"/>
            <w:tcMar>
              <w:top w:w="80" w:type="dxa"/>
              <w:left w:w="120" w:type="dxa"/>
              <w:bottom w:w="80" w:type="dxa"/>
              <w:right w:w="120" w:type="dxa"/>
            </w:tcMar>
          </w:tcPr>
          <w:p w:rsidR="00AB1A28" w:rsidRDefault="00000000">
            <w:r>
              <w:rPr>
                <w:rFonts w:ascii="Calibri" w:eastAsia="Calibri" w:hAnsi="Calibri" w:cs="Calibri"/>
                <w:b/>
                <w:bCs/>
                <w:color w:val="FFFFFF"/>
                <w:sz w:val="19"/>
                <w:szCs w:val="19"/>
              </w:rPr>
              <w:t>Civil Society &amp; Advocacy</w:t>
            </w:r>
          </w:p>
        </w:tc>
        <w:tc>
          <w:tcPr>
            <w:tcW w:w="0" w:type="auto"/>
            <w:tcBorders>
              <w:top w:val="none" w:sz="0" w:space="0" w:color="FFFFFF"/>
              <w:left w:val="none" w:sz="0" w:space="0" w:color="FFFFFF"/>
              <w:bottom w:val="none" w:sz="0" w:space="0" w:color="FFFFFF"/>
              <w:right w:val="none" w:sz="0" w:space="0" w:color="FFFFFF"/>
            </w:tcBorders>
            <w:shd w:val="clear" w:color="auto" w:fill="8A1030"/>
            <w:tcMar>
              <w:top w:w="80" w:type="dxa"/>
              <w:left w:w="120" w:type="dxa"/>
              <w:bottom w:w="80" w:type="dxa"/>
              <w:right w:w="120" w:type="dxa"/>
            </w:tcMar>
          </w:tcPr>
          <w:p w:rsidR="00AB1A28" w:rsidRDefault="00000000">
            <w:r>
              <w:rPr>
                <w:rFonts w:ascii="Calibri" w:eastAsia="Calibri" w:hAnsi="Calibri" w:cs="Calibri"/>
                <w:b/>
                <w:bCs/>
                <w:color w:val="FFFFFF"/>
                <w:sz w:val="19"/>
                <w:szCs w:val="19"/>
              </w:rPr>
              <w:t>Data, Research &amp; Media</w:t>
            </w:r>
          </w:p>
        </w:tc>
        <w:tc>
          <w:tcPr>
            <w:tcW w:w="0" w:type="auto"/>
            <w:tcBorders>
              <w:top w:val="none" w:sz="0" w:space="0" w:color="FFFFFF"/>
              <w:left w:val="none" w:sz="0" w:space="0" w:color="FFFFFF"/>
              <w:bottom w:val="none" w:sz="0" w:space="0" w:color="FFFFFF"/>
              <w:right w:val="none" w:sz="0" w:space="0" w:color="FFFFFF"/>
            </w:tcBorders>
            <w:shd w:val="clear" w:color="auto" w:fill="8A1030"/>
            <w:tcMar>
              <w:top w:w="80" w:type="dxa"/>
              <w:left w:w="120" w:type="dxa"/>
              <w:bottom w:w="80" w:type="dxa"/>
              <w:right w:w="120" w:type="dxa"/>
            </w:tcMar>
          </w:tcPr>
          <w:p w:rsidR="00AB1A28" w:rsidRDefault="00000000">
            <w:r>
              <w:rPr>
                <w:rFonts w:ascii="Calibri" w:eastAsia="Calibri" w:hAnsi="Calibri" w:cs="Calibri"/>
                <w:b/>
                <w:bCs/>
                <w:color w:val="FFFFFF"/>
                <w:sz w:val="19"/>
                <w:szCs w:val="19"/>
              </w:rPr>
              <w:t>Legal, Government &amp; Institutional</w:t>
            </w:r>
          </w:p>
        </w:tc>
      </w:tr>
      <w:tr w:rsidR="00AB1A28">
        <w:tblPrEx>
          <w:tblCellMar>
            <w:top w:w="0" w:type="dxa"/>
            <w:bottom w:w="0" w:type="dxa"/>
          </w:tblCellMar>
        </w:tblPrEx>
        <w:tc>
          <w:tcPr>
            <w:tcW w:w="0" w:type="auto"/>
            <w:tcBorders>
              <w:top w:val="single" w:sz="1" w:space="0" w:color="DDCCCC"/>
              <w:left w:val="single" w:sz="1" w:space="0" w:color="DDCCCC"/>
              <w:bottom w:val="single" w:sz="1" w:space="0" w:color="DDCCCC"/>
              <w:right w:val="single" w:sz="1" w:space="0" w:color="DDCCCC"/>
            </w:tcBorders>
            <w:shd w:val="clear" w:color="auto" w:fill="F8F4F5"/>
            <w:tcMar>
              <w:top w:w="100" w:type="dxa"/>
              <w:left w:w="120" w:type="dxa"/>
              <w:bottom w:w="100" w:type="dxa"/>
              <w:right w:w="120" w:type="dxa"/>
            </w:tcMar>
          </w:tcPr>
          <w:p w:rsidR="00AB1A28" w:rsidRDefault="00000000">
            <w:pPr>
              <w:spacing w:before="40"/>
            </w:pPr>
            <w:r>
              <w:rPr>
                <w:rFonts w:ascii="Calibri" w:eastAsia="Calibri" w:hAnsi="Calibri" w:cs="Calibri"/>
                <w:color w:val="4A4A4A"/>
                <w:sz w:val="19"/>
                <w:szCs w:val="19"/>
              </w:rPr>
              <w:t>Usikimye (Kenya)</w:t>
            </w:r>
          </w:p>
          <w:p w:rsidR="00AB1A28" w:rsidRDefault="00000000">
            <w:pPr>
              <w:spacing w:before="40"/>
            </w:pPr>
            <w:r>
              <w:rPr>
                <w:rFonts w:ascii="Calibri" w:eastAsia="Calibri" w:hAnsi="Calibri" w:cs="Calibri"/>
                <w:color w:val="4A4A4A"/>
                <w:sz w:val="19"/>
                <w:szCs w:val="19"/>
              </w:rPr>
              <w:t>FIDA Kenya</w:t>
            </w:r>
          </w:p>
          <w:p w:rsidR="00AB1A28" w:rsidRDefault="00000000">
            <w:pPr>
              <w:spacing w:before="40"/>
            </w:pPr>
            <w:r>
              <w:rPr>
                <w:rFonts w:ascii="Calibri" w:eastAsia="Calibri" w:hAnsi="Calibri" w:cs="Calibri"/>
                <w:color w:val="4A4A4A"/>
                <w:sz w:val="19"/>
                <w:szCs w:val="19"/>
              </w:rPr>
              <w:t>COVAW</w:t>
            </w:r>
          </w:p>
          <w:p w:rsidR="00AB1A28" w:rsidRDefault="00000000">
            <w:pPr>
              <w:spacing w:before="40"/>
            </w:pPr>
            <w:r>
              <w:rPr>
                <w:rFonts w:ascii="Calibri" w:eastAsia="Calibri" w:hAnsi="Calibri" w:cs="Calibri"/>
                <w:color w:val="4A4A4A"/>
                <w:sz w:val="19"/>
                <w:szCs w:val="19"/>
              </w:rPr>
              <w:t>GVRC Kenya</w:t>
            </w:r>
          </w:p>
          <w:p w:rsidR="00AB1A28" w:rsidRDefault="00000000">
            <w:pPr>
              <w:spacing w:before="40"/>
            </w:pPr>
            <w:r>
              <w:rPr>
                <w:rFonts w:ascii="Calibri" w:eastAsia="Calibri" w:hAnsi="Calibri" w:cs="Calibri"/>
                <w:color w:val="4A4A4A"/>
                <w:sz w:val="19"/>
                <w:szCs w:val="19"/>
              </w:rPr>
              <w:t>VOCAL Africa</w:t>
            </w:r>
          </w:p>
          <w:p w:rsidR="00AB1A28" w:rsidRDefault="00000000">
            <w:pPr>
              <w:spacing w:before="40"/>
            </w:pPr>
            <w:r>
              <w:rPr>
                <w:rFonts w:ascii="Calibri" w:eastAsia="Calibri" w:hAnsi="Calibri" w:cs="Calibri"/>
                <w:color w:val="4A4A4A"/>
                <w:sz w:val="19"/>
                <w:szCs w:val="19"/>
              </w:rPr>
              <w:t>The Social Justice League</w:t>
            </w:r>
          </w:p>
          <w:p w:rsidR="00AB1A28" w:rsidRDefault="00000000">
            <w:pPr>
              <w:spacing w:before="40"/>
            </w:pPr>
            <w:r>
              <w:rPr>
                <w:rFonts w:ascii="Calibri" w:eastAsia="Calibri" w:hAnsi="Calibri" w:cs="Calibri"/>
                <w:color w:val="4A4A4A"/>
                <w:sz w:val="19"/>
                <w:szCs w:val="19"/>
              </w:rPr>
              <w:t>Amnesty International Kenya</w:t>
            </w:r>
          </w:p>
          <w:p w:rsidR="00AB1A28" w:rsidRDefault="00000000">
            <w:pPr>
              <w:spacing w:before="40"/>
            </w:pPr>
            <w:r>
              <w:rPr>
                <w:rFonts w:ascii="Calibri" w:eastAsia="Calibri" w:hAnsi="Calibri" w:cs="Calibri"/>
                <w:color w:val="4A4A4A"/>
                <w:sz w:val="19"/>
                <w:szCs w:val="19"/>
              </w:rPr>
              <w:t>Coalition on Violence Against Women</w:t>
            </w:r>
          </w:p>
        </w:tc>
        <w:tc>
          <w:tcPr>
            <w:tcW w:w="0" w:type="auto"/>
            <w:tcBorders>
              <w:top w:val="single" w:sz="1" w:space="0" w:color="DDCCCC"/>
              <w:left w:val="single" w:sz="1" w:space="0" w:color="DDCCCC"/>
              <w:bottom w:val="single" w:sz="1" w:space="0" w:color="DDCCCC"/>
              <w:right w:val="single" w:sz="1" w:space="0" w:color="DDCCCC"/>
            </w:tcBorders>
            <w:shd w:val="clear" w:color="auto" w:fill="F8F4F5"/>
            <w:tcMar>
              <w:top w:w="100" w:type="dxa"/>
              <w:left w:w="120" w:type="dxa"/>
              <w:bottom w:w="100" w:type="dxa"/>
              <w:right w:w="120" w:type="dxa"/>
            </w:tcMar>
          </w:tcPr>
          <w:p w:rsidR="00AB1A28" w:rsidRDefault="00000000">
            <w:pPr>
              <w:spacing w:before="40"/>
            </w:pPr>
            <w:r>
              <w:rPr>
                <w:rFonts w:ascii="Calibri" w:eastAsia="Calibri" w:hAnsi="Calibri" w:cs="Calibri"/>
                <w:color w:val="4A4A4A"/>
                <w:sz w:val="19"/>
                <w:szCs w:val="19"/>
              </w:rPr>
              <w:t>Africa Data Hub</w:t>
            </w:r>
          </w:p>
          <w:p w:rsidR="00AB1A28" w:rsidRDefault="00000000">
            <w:pPr>
              <w:spacing w:before="40"/>
            </w:pPr>
            <w:r>
              <w:rPr>
                <w:rFonts w:ascii="Calibri" w:eastAsia="Calibri" w:hAnsi="Calibri" w:cs="Calibri"/>
                <w:color w:val="4A4A4A"/>
                <w:sz w:val="19"/>
                <w:szCs w:val="19"/>
              </w:rPr>
              <w:t>KICTANet</w:t>
            </w:r>
          </w:p>
          <w:p w:rsidR="00AB1A28" w:rsidRDefault="00000000">
            <w:pPr>
              <w:spacing w:before="40"/>
            </w:pPr>
            <w:r>
              <w:rPr>
                <w:rFonts w:ascii="Calibri" w:eastAsia="Calibri" w:hAnsi="Calibri" w:cs="Calibri"/>
                <w:color w:val="4A4A4A"/>
                <w:sz w:val="19"/>
                <w:szCs w:val="19"/>
              </w:rPr>
              <w:t>Femicide Count Kenya</w:t>
            </w:r>
          </w:p>
          <w:p w:rsidR="00AB1A28" w:rsidRDefault="00000000">
            <w:pPr>
              <w:spacing w:before="40"/>
            </w:pPr>
            <w:r>
              <w:rPr>
                <w:rFonts w:ascii="Calibri" w:eastAsia="Calibri" w:hAnsi="Calibri" w:cs="Calibri"/>
                <w:color w:val="4A4A4A"/>
                <w:sz w:val="19"/>
                <w:szCs w:val="19"/>
              </w:rPr>
              <w:t>Nation Africa</w:t>
            </w:r>
          </w:p>
          <w:p w:rsidR="00AB1A28" w:rsidRDefault="00000000">
            <w:pPr>
              <w:spacing w:before="40"/>
            </w:pPr>
            <w:r>
              <w:rPr>
                <w:rFonts w:ascii="Calibri" w:eastAsia="Calibri" w:hAnsi="Calibri" w:cs="Calibri"/>
                <w:color w:val="4A4A4A"/>
                <w:sz w:val="19"/>
                <w:szCs w:val="19"/>
              </w:rPr>
              <w:t>Standard Media Group</w:t>
            </w:r>
          </w:p>
          <w:p w:rsidR="00AB1A28" w:rsidRDefault="00000000">
            <w:pPr>
              <w:spacing w:before="40"/>
            </w:pPr>
            <w:r>
              <w:rPr>
                <w:rFonts w:ascii="Calibri" w:eastAsia="Calibri" w:hAnsi="Calibri" w:cs="Calibri"/>
                <w:color w:val="4A4A4A"/>
                <w:sz w:val="19"/>
                <w:szCs w:val="19"/>
              </w:rPr>
              <w:t>Citizen Digital</w:t>
            </w:r>
          </w:p>
          <w:p w:rsidR="00AB1A28" w:rsidRDefault="00000000">
            <w:pPr>
              <w:spacing w:before="40"/>
            </w:pPr>
            <w:r>
              <w:rPr>
                <w:rFonts w:ascii="Calibri" w:eastAsia="Calibri" w:hAnsi="Calibri" w:cs="Calibri"/>
                <w:color w:val="4A4A4A"/>
                <w:sz w:val="19"/>
                <w:szCs w:val="19"/>
              </w:rPr>
              <w:t>NTV Kenya</w:t>
            </w:r>
          </w:p>
          <w:p w:rsidR="00AB1A28" w:rsidRDefault="00000000">
            <w:pPr>
              <w:spacing w:before="40"/>
            </w:pPr>
            <w:r>
              <w:rPr>
                <w:rFonts w:ascii="Calibri" w:eastAsia="Calibri" w:hAnsi="Calibri" w:cs="Calibri"/>
                <w:color w:val="4A4A4A"/>
                <w:sz w:val="19"/>
                <w:szCs w:val="19"/>
              </w:rPr>
              <w:t>Equal Measures 2030</w:t>
            </w:r>
          </w:p>
        </w:tc>
        <w:tc>
          <w:tcPr>
            <w:tcW w:w="0" w:type="auto"/>
            <w:tcBorders>
              <w:top w:val="single" w:sz="1" w:space="0" w:color="DDCCCC"/>
              <w:left w:val="single" w:sz="1" w:space="0" w:color="DDCCCC"/>
              <w:bottom w:val="single" w:sz="1" w:space="0" w:color="DDCCCC"/>
              <w:right w:val="single" w:sz="1" w:space="0" w:color="DDCCCC"/>
            </w:tcBorders>
            <w:shd w:val="clear" w:color="auto" w:fill="F8F4F5"/>
            <w:tcMar>
              <w:top w:w="100" w:type="dxa"/>
              <w:left w:w="120" w:type="dxa"/>
              <w:bottom w:w="100" w:type="dxa"/>
              <w:right w:w="120" w:type="dxa"/>
            </w:tcMar>
          </w:tcPr>
          <w:p w:rsidR="00AB1A28" w:rsidRDefault="00000000">
            <w:pPr>
              <w:spacing w:before="40"/>
            </w:pPr>
            <w:r>
              <w:rPr>
                <w:rFonts w:ascii="Calibri" w:eastAsia="Calibri" w:hAnsi="Calibri" w:cs="Calibri"/>
                <w:color w:val="4A4A4A"/>
                <w:sz w:val="19"/>
                <w:szCs w:val="19"/>
              </w:rPr>
              <w:t>Law Society of Kenya</w:t>
            </w:r>
          </w:p>
          <w:p w:rsidR="00AB1A28" w:rsidRDefault="00000000">
            <w:pPr>
              <w:spacing w:before="40"/>
            </w:pPr>
            <w:r>
              <w:rPr>
                <w:rFonts w:ascii="Calibri" w:eastAsia="Calibri" w:hAnsi="Calibri" w:cs="Calibri"/>
                <w:color w:val="4A4A4A"/>
                <w:sz w:val="19"/>
                <w:szCs w:val="19"/>
              </w:rPr>
              <w:t>NGEC</w:t>
            </w:r>
          </w:p>
          <w:p w:rsidR="00AB1A28" w:rsidRDefault="00000000">
            <w:pPr>
              <w:spacing w:before="40"/>
            </w:pPr>
            <w:r>
              <w:rPr>
                <w:rFonts w:ascii="Calibri" w:eastAsia="Calibri" w:hAnsi="Calibri" w:cs="Calibri"/>
                <w:color w:val="4A4A4A"/>
                <w:sz w:val="19"/>
                <w:szCs w:val="19"/>
              </w:rPr>
              <w:t>ODPP</w:t>
            </w:r>
          </w:p>
          <w:p w:rsidR="00AB1A28" w:rsidRDefault="00000000">
            <w:pPr>
              <w:spacing w:before="40"/>
            </w:pPr>
            <w:r>
              <w:rPr>
                <w:rFonts w:ascii="Calibri" w:eastAsia="Calibri" w:hAnsi="Calibri" w:cs="Calibri"/>
                <w:color w:val="4A4A4A"/>
                <w:sz w:val="19"/>
                <w:szCs w:val="19"/>
              </w:rPr>
              <w:t>DCI Gender Desk</w:t>
            </w:r>
          </w:p>
          <w:p w:rsidR="00AB1A28" w:rsidRDefault="00000000">
            <w:pPr>
              <w:spacing w:before="40"/>
            </w:pPr>
            <w:r>
              <w:rPr>
                <w:rFonts w:ascii="Calibri" w:eastAsia="Calibri" w:hAnsi="Calibri" w:cs="Calibri"/>
                <w:color w:val="4A4A4A"/>
                <w:sz w:val="19"/>
                <w:szCs w:val="19"/>
              </w:rPr>
              <w:t>Ministry of Gender</w:t>
            </w:r>
          </w:p>
          <w:p w:rsidR="00AB1A28" w:rsidRDefault="00000000">
            <w:pPr>
              <w:spacing w:before="40"/>
            </w:pPr>
            <w:r>
              <w:rPr>
                <w:rFonts w:ascii="Calibri" w:eastAsia="Calibri" w:hAnsi="Calibri" w:cs="Calibri"/>
                <w:color w:val="4A4A4A"/>
                <w:sz w:val="19"/>
                <w:szCs w:val="19"/>
              </w:rPr>
              <w:t>IPOA</w:t>
            </w:r>
          </w:p>
          <w:p w:rsidR="00AB1A28" w:rsidRDefault="00000000">
            <w:pPr>
              <w:spacing w:before="40"/>
            </w:pPr>
            <w:r>
              <w:rPr>
                <w:rFonts w:ascii="Calibri" w:eastAsia="Calibri" w:hAnsi="Calibri" w:cs="Calibri"/>
                <w:color w:val="4A4A4A"/>
                <w:sz w:val="19"/>
                <w:szCs w:val="19"/>
              </w:rPr>
              <w:t>The Donor Community</w:t>
            </w:r>
          </w:p>
        </w:tc>
      </w:tr>
    </w:tbl>
    <w:p w:rsidR="00AB1A28" w:rsidRDefault="00AB1A28">
      <w:pPr>
        <w:spacing w:before="200"/>
      </w:pPr>
    </w:p>
    <w:p w:rsidR="00AB1A28" w:rsidRDefault="00000000">
      <w:pPr>
        <w:pBdr>
          <w:bottom w:val="single" w:sz="12" w:space="0" w:color="8A1030"/>
        </w:pBdr>
        <w:spacing w:before="280" w:after="80"/>
      </w:pPr>
      <w:r>
        <w:rPr>
          <w:rFonts w:ascii="Calibri" w:eastAsia="Calibri" w:hAnsi="Calibri" w:cs="Calibri"/>
          <w:b/>
          <w:bCs/>
          <w:color w:val="8A1030"/>
          <w:spacing w:val="80"/>
          <w:sz w:val="24"/>
          <w:szCs w:val="24"/>
        </w:rPr>
        <w:t>4.  IMPLEMENTATION TIMELINE</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2"/>
        <w:gridCol w:w="8414"/>
      </w:tblGrid>
      <w:tr w:rsidR="00AB1A28">
        <w:tblPrEx>
          <w:tblCellMar>
            <w:top w:w="0" w:type="dxa"/>
            <w:bottom w:w="0" w:type="dxa"/>
          </w:tblCellMar>
        </w:tblPrEx>
        <w:tc>
          <w:tcPr>
            <w:tcW w:w="0" w:type="auto"/>
            <w:tcBorders>
              <w:top w:val="single" w:sz="1" w:space="0" w:color="DDCCCC"/>
              <w:left w:val="single" w:sz="1" w:space="0" w:color="DDCCCC"/>
              <w:bottom w:val="single" w:sz="1" w:space="0" w:color="DDCCCC"/>
              <w:right w:val="single" w:sz="1" w:space="0" w:color="DDCCCC"/>
            </w:tcBorders>
            <w:shd w:val="clear" w:color="auto" w:fill="F8F4F5"/>
            <w:tcMar>
              <w:top w:w="100" w:type="dxa"/>
              <w:left w:w="120" w:type="dxa"/>
              <w:bottom w:w="100" w:type="dxa"/>
              <w:right w:w="120" w:type="dxa"/>
            </w:tcMar>
          </w:tcPr>
          <w:p w:rsidR="00AB1A28" w:rsidRDefault="00000000">
            <w:r>
              <w:rPr>
                <w:rFonts w:ascii="Calibri" w:eastAsia="Calibri" w:hAnsi="Calibri" w:cs="Calibri"/>
                <w:b/>
                <w:bCs/>
                <w:color w:val="8A1030"/>
                <w:sz w:val="19"/>
                <w:szCs w:val="19"/>
              </w:rPr>
              <w:t>May 2026</w:t>
            </w:r>
          </w:p>
        </w:tc>
        <w:tc>
          <w:tcPr>
            <w:tcW w:w="0" w:type="auto"/>
            <w:tcBorders>
              <w:top w:val="single" w:sz="1" w:space="0" w:color="DDCCCC"/>
              <w:left w:val="single" w:sz="1" w:space="0" w:color="DDCCCC"/>
              <w:bottom w:val="single" w:sz="1" w:space="0" w:color="DDCCCC"/>
              <w:right w:val="single" w:sz="1" w:space="0" w:color="DDCCCC"/>
            </w:tcBorders>
            <w:shd w:val="clear" w:color="auto" w:fill="FFFFFF"/>
            <w:tcMar>
              <w:top w:w="100" w:type="dxa"/>
              <w:left w:w="120" w:type="dxa"/>
              <w:bottom w:w="100" w:type="dxa"/>
              <w:right w:w="120" w:type="dxa"/>
            </w:tcMar>
          </w:tcPr>
          <w:p w:rsidR="00AB1A28" w:rsidRDefault="00000000">
            <w:r>
              <w:rPr>
                <w:color w:val="4A4A4A"/>
                <w:sz w:val="20"/>
                <w:szCs w:val="20"/>
              </w:rPr>
              <w:t>Platform fully built and live. 35 verified cases in database. hepa PWA deployed at hepa.femsaidiakenya.org. USSD backend live on Supabase Edge Functions. Production shortcode application submitted to Africa's Talking.</w:t>
            </w:r>
          </w:p>
        </w:tc>
      </w:tr>
      <w:tr w:rsidR="00AB1A28">
        <w:tblPrEx>
          <w:tblCellMar>
            <w:top w:w="0" w:type="dxa"/>
            <w:bottom w:w="0" w:type="dxa"/>
          </w:tblCellMar>
        </w:tblPrEx>
        <w:tc>
          <w:tcPr>
            <w:tcW w:w="0" w:type="auto"/>
            <w:tcBorders>
              <w:top w:val="single" w:sz="1" w:space="0" w:color="DDCCCC"/>
              <w:left w:val="single" w:sz="1" w:space="0" w:color="DDCCCC"/>
              <w:bottom w:val="single" w:sz="1" w:space="0" w:color="DDCCCC"/>
              <w:right w:val="single" w:sz="1" w:space="0" w:color="DDCCCC"/>
            </w:tcBorders>
            <w:shd w:val="clear" w:color="auto" w:fill="F8F4F5"/>
            <w:tcMar>
              <w:top w:w="100" w:type="dxa"/>
              <w:left w:w="120" w:type="dxa"/>
              <w:bottom w:w="100" w:type="dxa"/>
              <w:right w:w="120" w:type="dxa"/>
            </w:tcMar>
          </w:tcPr>
          <w:p w:rsidR="00AB1A28" w:rsidRDefault="00000000">
            <w:r>
              <w:rPr>
                <w:rFonts w:ascii="Calibri" w:eastAsia="Calibri" w:hAnsi="Calibri" w:cs="Calibri"/>
                <w:b/>
                <w:bCs/>
                <w:color w:val="8A1030"/>
                <w:sz w:val="19"/>
                <w:szCs w:val="19"/>
              </w:rPr>
              <w:t>July 2026</w:t>
            </w:r>
          </w:p>
        </w:tc>
        <w:tc>
          <w:tcPr>
            <w:tcW w:w="0" w:type="auto"/>
            <w:tcBorders>
              <w:top w:val="single" w:sz="1" w:space="0" w:color="DDCCCC"/>
              <w:left w:val="single" w:sz="1" w:space="0" w:color="DDCCCC"/>
              <w:bottom w:val="single" w:sz="1" w:space="0" w:color="DDCCCC"/>
              <w:right w:val="single" w:sz="1" w:space="0" w:color="DDCCCC"/>
            </w:tcBorders>
            <w:shd w:val="clear" w:color="auto" w:fill="FFFFFF"/>
            <w:tcMar>
              <w:top w:w="100" w:type="dxa"/>
              <w:left w:w="120" w:type="dxa"/>
              <w:bottom w:w="100" w:type="dxa"/>
              <w:right w:w="120" w:type="dxa"/>
            </w:tcMar>
          </w:tcPr>
          <w:p w:rsidR="00AB1A28" w:rsidRDefault="00000000">
            <w:r>
              <w:rPr>
                <w:color w:val="4A4A4A"/>
                <w:sz w:val="20"/>
                <w:szCs w:val="20"/>
              </w:rPr>
              <w:t>Production USSD shortcode activated. Live on Safaricom, Airtel and Telkom Kenya networks. Stakeholder onboarding begins — invitations to CSO partners, legal aid organisations and data partners.</w:t>
            </w:r>
          </w:p>
        </w:tc>
      </w:tr>
      <w:tr w:rsidR="00AB1A28">
        <w:tblPrEx>
          <w:tblCellMar>
            <w:top w:w="0" w:type="dxa"/>
            <w:bottom w:w="0" w:type="dxa"/>
          </w:tblCellMar>
        </w:tblPrEx>
        <w:tc>
          <w:tcPr>
            <w:tcW w:w="0" w:type="auto"/>
            <w:tcBorders>
              <w:top w:val="single" w:sz="1" w:space="0" w:color="DDCCCC"/>
              <w:left w:val="single" w:sz="1" w:space="0" w:color="DDCCCC"/>
              <w:bottom w:val="single" w:sz="1" w:space="0" w:color="DDCCCC"/>
              <w:right w:val="single" w:sz="1" w:space="0" w:color="DDCCCC"/>
            </w:tcBorders>
            <w:shd w:val="clear" w:color="auto" w:fill="8A1030"/>
            <w:tcMar>
              <w:top w:w="100" w:type="dxa"/>
              <w:left w:w="120" w:type="dxa"/>
              <w:bottom w:w="100" w:type="dxa"/>
              <w:right w:w="120" w:type="dxa"/>
            </w:tcMar>
          </w:tcPr>
          <w:p w:rsidR="00AB1A28" w:rsidRDefault="00000000">
            <w:r>
              <w:rPr>
                <w:rFonts w:ascii="Calibri" w:eastAsia="Calibri" w:hAnsi="Calibri" w:cs="Calibri"/>
                <w:b/>
                <w:bCs/>
                <w:color w:val="FFFFFF"/>
                <w:sz w:val="19"/>
                <w:szCs w:val="19"/>
              </w:rPr>
              <w:t>19 August 2026</w:t>
            </w:r>
          </w:p>
        </w:tc>
        <w:tc>
          <w:tcPr>
            <w:tcW w:w="0" w:type="auto"/>
            <w:tcBorders>
              <w:top w:val="single" w:sz="1" w:space="0" w:color="DDCCCC"/>
              <w:left w:val="single" w:sz="1" w:space="0" w:color="DDCCCC"/>
              <w:bottom w:val="single" w:sz="1" w:space="0" w:color="DDCCCC"/>
              <w:right w:val="single" w:sz="1" w:space="0" w:color="DDCCCC"/>
            </w:tcBorders>
            <w:shd w:val="clear" w:color="auto" w:fill="FFF0F0"/>
            <w:tcMar>
              <w:top w:w="100" w:type="dxa"/>
              <w:left w:w="120" w:type="dxa"/>
              <w:bottom w:w="100" w:type="dxa"/>
              <w:right w:w="120" w:type="dxa"/>
            </w:tcMar>
          </w:tcPr>
          <w:p w:rsidR="00AB1A28" w:rsidRDefault="00000000">
            <w:r>
              <w:rPr>
                <w:color w:val="4A4A4A"/>
                <w:sz w:val="20"/>
                <w:szCs w:val="20"/>
              </w:rPr>
              <w:t>SOFT LAUNCH — Aligned with the Making All Spaces Safe (MASS) Digital Safety Campaign. Formal unveiling to stakeholders, media briefing, initial data seeding from stakeholder organisations. hepa download campaign begins.</w:t>
            </w:r>
          </w:p>
        </w:tc>
      </w:tr>
      <w:tr w:rsidR="00AB1A28">
        <w:tblPrEx>
          <w:tblCellMar>
            <w:top w:w="0" w:type="dxa"/>
            <w:bottom w:w="0" w:type="dxa"/>
          </w:tblCellMar>
        </w:tblPrEx>
        <w:tc>
          <w:tcPr>
            <w:tcW w:w="0" w:type="auto"/>
            <w:tcBorders>
              <w:top w:val="single" w:sz="1" w:space="0" w:color="DDCCCC"/>
              <w:left w:val="single" w:sz="1" w:space="0" w:color="DDCCCC"/>
              <w:bottom w:val="single" w:sz="1" w:space="0" w:color="DDCCCC"/>
              <w:right w:val="single" w:sz="1" w:space="0" w:color="DDCCCC"/>
            </w:tcBorders>
            <w:shd w:val="clear" w:color="auto" w:fill="F8F4F5"/>
            <w:tcMar>
              <w:top w:w="100" w:type="dxa"/>
              <w:left w:w="120" w:type="dxa"/>
              <w:bottom w:w="100" w:type="dxa"/>
              <w:right w:w="120" w:type="dxa"/>
            </w:tcMar>
          </w:tcPr>
          <w:p w:rsidR="00AB1A28" w:rsidRDefault="00000000">
            <w:r>
              <w:rPr>
                <w:rFonts w:ascii="Calibri" w:eastAsia="Calibri" w:hAnsi="Calibri" w:cs="Calibri"/>
                <w:b/>
                <w:bCs/>
                <w:color w:val="8A1030"/>
                <w:sz w:val="19"/>
                <w:szCs w:val="19"/>
              </w:rPr>
              <w:t>Sep–Oct 2026</w:t>
            </w:r>
          </w:p>
        </w:tc>
        <w:tc>
          <w:tcPr>
            <w:tcW w:w="0" w:type="auto"/>
            <w:tcBorders>
              <w:top w:val="single" w:sz="1" w:space="0" w:color="DDCCCC"/>
              <w:left w:val="single" w:sz="1" w:space="0" w:color="DDCCCC"/>
              <w:bottom w:val="single" w:sz="1" w:space="0" w:color="DDCCCC"/>
              <w:right w:val="single" w:sz="1" w:space="0" w:color="DDCCCC"/>
            </w:tcBorders>
            <w:shd w:val="clear" w:color="auto" w:fill="FFFFFF"/>
            <w:tcMar>
              <w:top w:w="100" w:type="dxa"/>
              <w:left w:w="120" w:type="dxa"/>
              <w:bottom w:w="100" w:type="dxa"/>
              <w:right w:w="120" w:type="dxa"/>
            </w:tcMar>
          </w:tcPr>
          <w:p w:rsidR="00AB1A28" w:rsidRDefault="00000000">
            <w:r>
              <w:rPr>
                <w:color w:val="4A4A4A"/>
                <w:sz w:val="20"/>
                <w:szCs w:val="20"/>
              </w:rPr>
              <w:t>Monitoring and data collection phase. Usage analytics, USSD session logs, hepa installs and case tracker updates compiled. Stakeholder feedback gathered. Refinements deployed.</w:t>
            </w:r>
          </w:p>
        </w:tc>
      </w:tr>
      <w:tr w:rsidR="00AB1A28">
        <w:tblPrEx>
          <w:tblCellMar>
            <w:top w:w="0" w:type="dxa"/>
            <w:bottom w:w="0" w:type="dxa"/>
          </w:tblCellMar>
        </w:tblPrEx>
        <w:tc>
          <w:tcPr>
            <w:tcW w:w="0" w:type="auto"/>
            <w:tcBorders>
              <w:top w:val="single" w:sz="1" w:space="0" w:color="DDCCCC"/>
              <w:left w:val="single" w:sz="1" w:space="0" w:color="DDCCCC"/>
              <w:bottom w:val="single" w:sz="1" w:space="0" w:color="DDCCCC"/>
              <w:right w:val="single" w:sz="1" w:space="0" w:color="DDCCCC"/>
            </w:tcBorders>
            <w:shd w:val="clear" w:color="auto" w:fill="8A1030"/>
            <w:tcMar>
              <w:top w:w="100" w:type="dxa"/>
              <w:left w:w="120" w:type="dxa"/>
              <w:bottom w:w="100" w:type="dxa"/>
              <w:right w:w="120" w:type="dxa"/>
            </w:tcMar>
          </w:tcPr>
          <w:p w:rsidR="00AB1A28" w:rsidRDefault="00000000">
            <w:r>
              <w:rPr>
                <w:rFonts w:ascii="Calibri" w:eastAsia="Calibri" w:hAnsi="Calibri" w:cs="Calibri"/>
                <w:b/>
                <w:bCs/>
                <w:color w:val="FFFFFF"/>
                <w:sz w:val="19"/>
                <w:szCs w:val="19"/>
              </w:rPr>
              <w:t>25 November 2026</w:t>
            </w:r>
          </w:p>
        </w:tc>
        <w:tc>
          <w:tcPr>
            <w:tcW w:w="0" w:type="auto"/>
            <w:tcBorders>
              <w:top w:val="single" w:sz="1" w:space="0" w:color="DDCCCC"/>
              <w:left w:val="single" w:sz="1" w:space="0" w:color="DDCCCC"/>
              <w:bottom w:val="single" w:sz="1" w:space="0" w:color="DDCCCC"/>
              <w:right w:val="single" w:sz="1" w:space="0" w:color="DDCCCC"/>
            </w:tcBorders>
            <w:shd w:val="clear" w:color="auto" w:fill="FFF0F0"/>
            <w:tcMar>
              <w:top w:w="100" w:type="dxa"/>
              <w:left w:w="120" w:type="dxa"/>
              <w:bottom w:w="100" w:type="dxa"/>
              <w:right w:w="120" w:type="dxa"/>
            </w:tcMar>
          </w:tcPr>
          <w:p w:rsidR="00AB1A28" w:rsidRDefault="00000000">
            <w:r>
              <w:rPr>
                <w:color w:val="4A4A4A"/>
                <w:sz w:val="20"/>
                <w:szCs w:val="20"/>
              </w:rPr>
              <w:t>FULL PUBLIC LAUNCH — International Day for the Elimination of Violence Against Women. National media campaign. Government and CSO briefings. Launch of formal funding partnerships.</w:t>
            </w:r>
          </w:p>
        </w:tc>
      </w:tr>
      <w:tr w:rsidR="00AB1A28">
        <w:tblPrEx>
          <w:tblCellMar>
            <w:top w:w="0" w:type="dxa"/>
            <w:bottom w:w="0" w:type="dxa"/>
          </w:tblCellMar>
        </w:tblPrEx>
        <w:tc>
          <w:tcPr>
            <w:tcW w:w="0" w:type="auto"/>
            <w:tcBorders>
              <w:top w:val="single" w:sz="1" w:space="0" w:color="DDCCCC"/>
              <w:left w:val="single" w:sz="1" w:space="0" w:color="DDCCCC"/>
              <w:bottom w:val="single" w:sz="1" w:space="0" w:color="DDCCCC"/>
              <w:right w:val="single" w:sz="1" w:space="0" w:color="DDCCCC"/>
            </w:tcBorders>
            <w:shd w:val="clear" w:color="auto" w:fill="F8F4F5"/>
            <w:tcMar>
              <w:top w:w="100" w:type="dxa"/>
              <w:left w:w="120" w:type="dxa"/>
              <w:bottom w:w="100" w:type="dxa"/>
              <w:right w:w="120" w:type="dxa"/>
            </w:tcMar>
          </w:tcPr>
          <w:p w:rsidR="00AB1A28" w:rsidRDefault="00000000">
            <w:r>
              <w:rPr>
                <w:rFonts w:ascii="Calibri" w:eastAsia="Calibri" w:hAnsi="Calibri" w:cs="Calibri"/>
                <w:b/>
                <w:bCs/>
                <w:color w:val="8A1030"/>
                <w:sz w:val="19"/>
                <w:szCs w:val="19"/>
              </w:rPr>
              <w:t>Q1–Q2 2027</w:t>
            </w:r>
          </w:p>
        </w:tc>
        <w:tc>
          <w:tcPr>
            <w:tcW w:w="0" w:type="auto"/>
            <w:tcBorders>
              <w:top w:val="single" w:sz="1" w:space="0" w:color="DDCCCC"/>
              <w:left w:val="single" w:sz="1" w:space="0" w:color="DDCCCC"/>
              <w:bottom w:val="single" w:sz="1" w:space="0" w:color="DDCCCC"/>
              <w:right w:val="single" w:sz="1" w:space="0" w:color="DDCCCC"/>
            </w:tcBorders>
            <w:shd w:val="clear" w:color="auto" w:fill="FFFFFF"/>
            <w:tcMar>
              <w:top w:w="100" w:type="dxa"/>
              <w:left w:w="120" w:type="dxa"/>
              <w:bottom w:w="100" w:type="dxa"/>
              <w:right w:w="120" w:type="dxa"/>
            </w:tcMar>
          </w:tcPr>
          <w:p w:rsidR="00AB1A28" w:rsidRDefault="00000000">
            <w:r>
              <w:rPr>
                <w:color w:val="4A4A4A"/>
                <w:sz w:val="20"/>
                <w:szCs w:val="20"/>
              </w:rPr>
              <w:t>National scale-up — Itika first-responder recruitment and verification; rollout across all 47 counties; CSO partnerships and automated intelligence.</w:t>
            </w:r>
          </w:p>
        </w:tc>
      </w:tr>
      <w:tr w:rsidR="00AB1A28">
        <w:tblPrEx>
          <w:tblCellMar>
            <w:top w:w="0" w:type="dxa"/>
            <w:bottom w:w="0" w:type="dxa"/>
          </w:tblCellMar>
        </w:tblPrEx>
        <w:tc>
          <w:tcPr>
            <w:tcW w:w="0" w:type="auto"/>
            <w:tcBorders>
              <w:top w:val="single" w:sz="1" w:space="0" w:color="DDCCCC"/>
              <w:left w:val="single" w:sz="1" w:space="0" w:color="DDCCCC"/>
              <w:bottom w:val="single" w:sz="1" w:space="0" w:color="DDCCCC"/>
              <w:right w:val="single" w:sz="1" w:space="0" w:color="DDCCCC"/>
            </w:tcBorders>
            <w:shd w:val="clear" w:color="auto" w:fill="F8F4F5"/>
            <w:tcMar>
              <w:top w:w="100" w:type="dxa"/>
              <w:left w:w="120" w:type="dxa"/>
              <w:bottom w:w="100" w:type="dxa"/>
              <w:right w:w="120" w:type="dxa"/>
            </w:tcMar>
          </w:tcPr>
          <w:p w:rsidR="00AB1A28" w:rsidRDefault="00000000">
            <w:r>
              <w:rPr>
                <w:rFonts w:ascii="Calibri" w:eastAsia="Calibri" w:hAnsi="Calibri" w:cs="Calibri"/>
                <w:b/>
                <w:bCs/>
                <w:color w:val="8A1030"/>
                <w:sz w:val="19"/>
                <w:szCs w:val="19"/>
              </w:rPr>
              <w:t>Q3–Q4 2027</w:t>
            </w:r>
          </w:p>
        </w:tc>
        <w:tc>
          <w:tcPr>
            <w:tcW w:w="0" w:type="auto"/>
            <w:tcBorders>
              <w:top w:val="single" w:sz="1" w:space="0" w:color="DDCCCC"/>
              <w:left w:val="single" w:sz="1" w:space="0" w:color="DDCCCC"/>
              <w:bottom w:val="single" w:sz="1" w:space="0" w:color="DDCCCC"/>
              <w:right w:val="single" w:sz="1" w:space="0" w:color="DDCCCC"/>
            </w:tcBorders>
            <w:shd w:val="clear" w:color="auto" w:fill="FFFFFF"/>
            <w:tcMar>
              <w:top w:w="100" w:type="dxa"/>
              <w:left w:w="120" w:type="dxa"/>
              <w:bottom w:w="100" w:type="dxa"/>
              <w:right w:w="120" w:type="dxa"/>
            </w:tcMar>
          </w:tcPr>
          <w:p w:rsidR="00AB1A28" w:rsidRDefault="00000000">
            <w:r>
              <w:rPr>
                <w:color w:val="4A4A4A"/>
                <w:sz w:val="20"/>
                <w:szCs w:val="20"/>
              </w:rPr>
              <w:t>Sustainability — government data-sharing MOU, institutional funding secured, team expanded. Close of the 18-month operational period (November 2027).</w:t>
            </w:r>
          </w:p>
        </w:tc>
      </w:tr>
    </w:tbl>
    <w:p w:rsidR="00AB1A28" w:rsidRDefault="00000000">
      <w:pPr>
        <w:pBdr>
          <w:bottom w:val="single" w:sz="12" w:space="0" w:color="8A1030"/>
        </w:pBdr>
        <w:spacing w:before="280" w:after="80"/>
      </w:pPr>
      <w:r>
        <w:rPr>
          <w:rFonts w:ascii="Calibri" w:eastAsia="Calibri" w:hAnsi="Calibri" w:cs="Calibri"/>
          <w:b/>
          <w:bCs/>
          <w:color w:val="8A1030"/>
          <w:spacing w:val="80"/>
          <w:sz w:val="24"/>
          <w:szCs w:val="24"/>
        </w:rPr>
        <w:t>5.  BUDGET AND FUNDING REQUEST</w:t>
      </w:r>
    </w:p>
    <w:p w:rsidR="00AB1A28" w:rsidRDefault="00000000">
      <w:pPr>
        <w:spacing w:before="80" w:after="80"/>
      </w:pPr>
      <w:r>
        <w:rPr>
          <w:color w:val="4A4A4A"/>
        </w:rPr>
        <w:t>Community Media Trust requests funding support for the 18-month operation and scale of the FemSaidia Kenya ecosystem. The platform has been fully developed and is live. Funding will cover operational sustainability, scale-up, staffing and communications — not development risk.</w:t>
      </w:r>
    </w:p>
    <w:p w:rsidR="00AB1A28" w:rsidRDefault="00000000">
      <w:pPr>
        <w:spacing w:before="80" w:after="80"/>
      </w:pPr>
      <w:r>
        <w:rPr>
          <w:color w:val="4A4A4A"/>
        </w:rPr>
        <w:t>The platform is already built and deployed — this is not development funding. The full 18-month operational and scale budget is USD 110,000 (≈ Ksh 14.3 million), covering production USSD operations, a national Itika first-responder network, the research, verification and data team, hosting and infrastructure, community outreach and communications.</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00"/>
        <w:gridCol w:w="1470"/>
        <w:gridCol w:w="1636"/>
      </w:tblGrid>
      <w:tr w:rsidR="00AB1A28">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80410"/>
            <w:tcMar>
              <w:top w:w="80" w:type="dxa"/>
              <w:left w:w="120" w:type="dxa"/>
              <w:bottom w:w="80" w:type="dxa"/>
              <w:right w:w="120" w:type="dxa"/>
            </w:tcMar>
          </w:tcPr>
          <w:p w:rsidR="00AB1A28" w:rsidRDefault="00000000">
            <w:r>
              <w:rPr>
                <w:rFonts w:ascii="Calibri" w:eastAsia="Calibri" w:hAnsi="Calibri" w:cs="Calibri"/>
                <w:b/>
                <w:bCs/>
                <w:color w:val="FFFFFF"/>
                <w:sz w:val="19"/>
                <w:szCs w:val="19"/>
              </w:rPr>
              <w:lastRenderedPageBreak/>
              <w:t>Budget Line</w:t>
            </w:r>
          </w:p>
        </w:tc>
        <w:tc>
          <w:tcPr>
            <w:tcW w:w="0" w:type="auto"/>
            <w:tcBorders>
              <w:top w:val="none" w:sz="0" w:space="0" w:color="FFFFFF"/>
              <w:left w:val="none" w:sz="0" w:space="0" w:color="FFFFFF"/>
              <w:bottom w:val="none" w:sz="0" w:space="0" w:color="FFFFFF"/>
              <w:right w:val="none" w:sz="0" w:space="0" w:color="FFFFFF"/>
            </w:tcBorders>
            <w:shd w:val="clear" w:color="auto" w:fill="180410"/>
            <w:tcMar>
              <w:top w:w="80" w:type="dxa"/>
              <w:left w:w="120" w:type="dxa"/>
              <w:bottom w:w="80" w:type="dxa"/>
              <w:right w:w="120" w:type="dxa"/>
            </w:tcMar>
          </w:tcPr>
          <w:p w:rsidR="00AB1A28" w:rsidRDefault="00000000">
            <w:pPr>
              <w:jc w:val="center"/>
            </w:pPr>
            <w:r>
              <w:rPr>
                <w:rFonts w:ascii="Calibri" w:eastAsia="Calibri" w:hAnsi="Calibri" w:cs="Calibri"/>
                <w:b/>
                <w:bCs/>
                <w:color w:val="FFFFFF"/>
                <w:sz w:val="19"/>
                <w:szCs w:val="19"/>
              </w:rPr>
              <w:t>USD</w:t>
            </w:r>
          </w:p>
        </w:tc>
        <w:tc>
          <w:tcPr>
            <w:tcW w:w="0" w:type="auto"/>
            <w:tcBorders>
              <w:top w:val="none" w:sz="0" w:space="0" w:color="FFFFFF"/>
              <w:left w:val="none" w:sz="0" w:space="0" w:color="FFFFFF"/>
              <w:bottom w:val="none" w:sz="0" w:space="0" w:color="FFFFFF"/>
              <w:right w:val="none" w:sz="0" w:space="0" w:color="FFFFFF"/>
            </w:tcBorders>
            <w:shd w:val="clear" w:color="auto" w:fill="180410"/>
            <w:tcMar>
              <w:top w:w="80" w:type="dxa"/>
              <w:left w:w="120" w:type="dxa"/>
              <w:bottom w:w="80" w:type="dxa"/>
              <w:right w:w="120" w:type="dxa"/>
            </w:tcMar>
          </w:tcPr>
          <w:p w:rsidR="00AB1A28" w:rsidRDefault="00000000">
            <w:pPr>
              <w:jc w:val="center"/>
            </w:pPr>
            <w:r>
              <w:rPr>
                <w:rFonts w:ascii="Calibri" w:eastAsia="Calibri" w:hAnsi="Calibri" w:cs="Calibri"/>
                <w:b/>
                <w:bCs/>
                <w:color w:val="FFFFFF"/>
                <w:sz w:val="19"/>
                <w:szCs w:val="19"/>
              </w:rPr>
              <w:t>KSH</w:t>
            </w:r>
          </w:p>
        </w:tc>
      </w:tr>
      <w:tr w:rsidR="00AB1A28">
        <w:tblPrEx>
          <w:tblCellMar>
            <w:top w:w="0" w:type="dxa"/>
            <w:bottom w:w="0" w:type="dxa"/>
          </w:tblCellMar>
        </w:tblPrEx>
        <w:tc>
          <w:tcPr>
            <w:tcW w:w="0" w:type="auto"/>
            <w:tcBorders>
              <w:top w:val="single" w:sz="1" w:space="0" w:color="DDCCCC"/>
              <w:left w:val="single" w:sz="1" w:space="0" w:color="DDCCCC"/>
              <w:bottom w:val="single" w:sz="1" w:space="0" w:color="DDCCCC"/>
              <w:right w:val="single" w:sz="1" w:space="0" w:color="DDCCCC"/>
            </w:tcBorders>
            <w:shd w:val="clear" w:color="auto" w:fill="F8F4F5"/>
            <w:tcMar>
              <w:top w:w="80" w:type="dxa"/>
              <w:left w:w="120" w:type="dxa"/>
              <w:bottom w:w="80" w:type="dxa"/>
              <w:right w:w="120" w:type="dxa"/>
            </w:tcMar>
          </w:tcPr>
          <w:p w:rsidR="00AB1A28" w:rsidRDefault="00000000">
            <w:r>
              <w:rPr>
                <w:rFonts w:ascii="Calibri" w:eastAsia="Calibri" w:hAnsi="Calibri" w:cs="Calibri"/>
                <w:color w:val="4A4A4A"/>
                <w:sz w:val="19"/>
                <w:szCs w:val="19"/>
              </w:rPr>
              <w:t>Salmin USSD operations (Africa’s Talking)</w:t>
            </w:r>
          </w:p>
        </w:tc>
        <w:tc>
          <w:tcPr>
            <w:tcW w:w="0" w:type="auto"/>
            <w:tcBorders>
              <w:top w:val="single" w:sz="1" w:space="0" w:color="DDCCCC"/>
              <w:left w:val="single" w:sz="1" w:space="0" w:color="DDCCCC"/>
              <w:bottom w:val="single" w:sz="1" w:space="0" w:color="DDCCCC"/>
              <w:right w:val="single" w:sz="1" w:space="0" w:color="DDCCCC"/>
            </w:tcBorders>
            <w:shd w:val="clear" w:color="auto" w:fill="F8F4F5"/>
            <w:tcMar>
              <w:top w:w="80" w:type="dxa"/>
              <w:left w:w="120" w:type="dxa"/>
              <w:bottom w:w="80" w:type="dxa"/>
              <w:right w:w="120" w:type="dxa"/>
            </w:tcMar>
          </w:tcPr>
          <w:p w:rsidR="00AB1A28" w:rsidRDefault="00000000">
            <w:pPr>
              <w:jc w:val="center"/>
            </w:pPr>
            <w:r>
              <w:rPr>
                <w:rFonts w:ascii="Calibri" w:eastAsia="Calibri" w:hAnsi="Calibri" w:cs="Calibri"/>
                <w:b/>
                <w:bCs/>
                <w:color w:val="8A1030"/>
                <w:sz w:val="19"/>
                <w:szCs w:val="19"/>
              </w:rPr>
              <w:t>$12,000</w:t>
            </w:r>
          </w:p>
        </w:tc>
        <w:tc>
          <w:tcPr>
            <w:tcW w:w="0" w:type="auto"/>
            <w:tcBorders>
              <w:top w:val="single" w:sz="1" w:space="0" w:color="DDCCCC"/>
              <w:left w:val="single" w:sz="1" w:space="0" w:color="DDCCCC"/>
              <w:bottom w:val="single" w:sz="1" w:space="0" w:color="DDCCCC"/>
              <w:right w:val="single" w:sz="1" w:space="0" w:color="DDCCCC"/>
            </w:tcBorders>
            <w:shd w:val="clear" w:color="auto" w:fill="F8F4F5"/>
            <w:tcMar>
              <w:top w:w="80" w:type="dxa"/>
              <w:left w:w="120" w:type="dxa"/>
              <w:bottom w:w="80" w:type="dxa"/>
              <w:right w:w="120" w:type="dxa"/>
            </w:tcMar>
          </w:tcPr>
          <w:p w:rsidR="00AB1A28" w:rsidRDefault="00000000">
            <w:pPr>
              <w:jc w:val="center"/>
            </w:pPr>
            <w:r>
              <w:rPr>
                <w:rFonts w:ascii="Calibri" w:eastAsia="Calibri" w:hAnsi="Calibri" w:cs="Calibri"/>
                <w:color w:val="4A4A4A"/>
                <w:sz w:val="19"/>
                <w:szCs w:val="19"/>
              </w:rPr>
              <w:t>1.56M</w:t>
            </w:r>
          </w:p>
        </w:tc>
      </w:tr>
      <w:tr w:rsidR="00AB1A28">
        <w:tblPrEx>
          <w:tblCellMar>
            <w:top w:w="0" w:type="dxa"/>
            <w:bottom w:w="0" w:type="dxa"/>
          </w:tblCellMar>
        </w:tblPrEx>
        <w:tc>
          <w:tcPr>
            <w:tcW w:w="0" w:type="auto"/>
            <w:tcBorders>
              <w:top w:val="single" w:sz="1" w:space="0" w:color="DDCCCC"/>
              <w:left w:val="single" w:sz="1" w:space="0" w:color="DDCCCC"/>
              <w:bottom w:val="single" w:sz="1" w:space="0" w:color="DDCCCC"/>
              <w:right w:val="single" w:sz="1" w:space="0" w:color="DDCCCC"/>
            </w:tcBorders>
            <w:shd w:val="clear" w:color="auto" w:fill="FFFFFF"/>
            <w:tcMar>
              <w:top w:w="80" w:type="dxa"/>
              <w:left w:w="120" w:type="dxa"/>
              <w:bottom w:w="80" w:type="dxa"/>
              <w:right w:w="120" w:type="dxa"/>
            </w:tcMar>
          </w:tcPr>
          <w:p w:rsidR="00AB1A28" w:rsidRDefault="00000000">
            <w:r>
              <w:rPr>
                <w:rFonts w:ascii="Calibri" w:eastAsia="Calibri" w:hAnsi="Calibri" w:cs="Calibri"/>
                <w:color w:val="4A4A4A"/>
                <w:sz w:val="19"/>
                <w:szCs w:val="19"/>
              </w:rPr>
              <w:t>Itika First Responder Network (training &amp; coordination)</w:t>
            </w:r>
          </w:p>
        </w:tc>
        <w:tc>
          <w:tcPr>
            <w:tcW w:w="0" w:type="auto"/>
            <w:tcBorders>
              <w:top w:val="single" w:sz="1" w:space="0" w:color="DDCCCC"/>
              <w:left w:val="single" w:sz="1" w:space="0" w:color="DDCCCC"/>
              <w:bottom w:val="single" w:sz="1" w:space="0" w:color="DDCCCC"/>
              <w:right w:val="single" w:sz="1" w:space="0" w:color="DDCCCC"/>
            </w:tcBorders>
            <w:shd w:val="clear" w:color="auto" w:fill="FFFFFF"/>
            <w:tcMar>
              <w:top w:w="80" w:type="dxa"/>
              <w:left w:w="120" w:type="dxa"/>
              <w:bottom w:w="80" w:type="dxa"/>
              <w:right w:w="120" w:type="dxa"/>
            </w:tcMar>
          </w:tcPr>
          <w:p w:rsidR="00AB1A28" w:rsidRDefault="00000000">
            <w:pPr>
              <w:jc w:val="center"/>
            </w:pPr>
            <w:r>
              <w:rPr>
                <w:rFonts w:ascii="Calibri" w:eastAsia="Calibri" w:hAnsi="Calibri" w:cs="Calibri"/>
                <w:b/>
                <w:bCs/>
                <w:color w:val="8A1030"/>
                <w:sz w:val="19"/>
                <w:szCs w:val="19"/>
              </w:rPr>
              <w:t>$18,000</w:t>
            </w:r>
          </w:p>
        </w:tc>
        <w:tc>
          <w:tcPr>
            <w:tcW w:w="0" w:type="auto"/>
            <w:tcBorders>
              <w:top w:val="single" w:sz="1" w:space="0" w:color="DDCCCC"/>
              <w:left w:val="single" w:sz="1" w:space="0" w:color="DDCCCC"/>
              <w:bottom w:val="single" w:sz="1" w:space="0" w:color="DDCCCC"/>
              <w:right w:val="single" w:sz="1" w:space="0" w:color="DDCCCC"/>
            </w:tcBorders>
            <w:shd w:val="clear" w:color="auto" w:fill="FFFFFF"/>
            <w:tcMar>
              <w:top w:w="80" w:type="dxa"/>
              <w:left w:w="120" w:type="dxa"/>
              <w:bottom w:w="80" w:type="dxa"/>
              <w:right w:w="120" w:type="dxa"/>
            </w:tcMar>
          </w:tcPr>
          <w:p w:rsidR="00AB1A28" w:rsidRDefault="00000000">
            <w:pPr>
              <w:jc w:val="center"/>
            </w:pPr>
            <w:r>
              <w:rPr>
                <w:rFonts w:ascii="Calibri" w:eastAsia="Calibri" w:hAnsi="Calibri" w:cs="Calibri"/>
                <w:color w:val="4A4A4A"/>
                <w:sz w:val="19"/>
                <w:szCs w:val="19"/>
              </w:rPr>
              <w:t>2.34M</w:t>
            </w:r>
          </w:p>
        </w:tc>
      </w:tr>
      <w:tr w:rsidR="00AB1A28">
        <w:tblPrEx>
          <w:tblCellMar>
            <w:top w:w="0" w:type="dxa"/>
            <w:bottom w:w="0" w:type="dxa"/>
          </w:tblCellMar>
        </w:tblPrEx>
        <w:tc>
          <w:tcPr>
            <w:tcW w:w="0" w:type="auto"/>
            <w:tcBorders>
              <w:top w:val="single" w:sz="1" w:space="0" w:color="DDCCCC"/>
              <w:left w:val="single" w:sz="1" w:space="0" w:color="DDCCCC"/>
              <w:bottom w:val="single" w:sz="1" w:space="0" w:color="DDCCCC"/>
              <w:right w:val="single" w:sz="1" w:space="0" w:color="DDCCCC"/>
            </w:tcBorders>
            <w:shd w:val="clear" w:color="auto" w:fill="F8F4F5"/>
            <w:tcMar>
              <w:top w:w="80" w:type="dxa"/>
              <w:left w:w="120" w:type="dxa"/>
              <w:bottom w:w="80" w:type="dxa"/>
              <w:right w:w="120" w:type="dxa"/>
            </w:tcMar>
          </w:tcPr>
          <w:p w:rsidR="00AB1A28" w:rsidRDefault="00000000">
            <w:r>
              <w:rPr>
                <w:rFonts w:ascii="Calibri" w:eastAsia="Calibri" w:hAnsi="Calibri" w:cs="Calibri"/>
                <w:color w:val="4A4A4A"/>
                <w:sz w:val="19"/>
                <w:szCs w:val="19"/>
              </w:rPr>
              <w:t>Platform hosting &amp; infrastructure (Vercel + Supabase)</w:t>
            </w:r>
          </w:p>
        </w:tc>
        <w:tc>
          <w:tcPr>
            <w:tcW w:w="0" w:type="auto"/>
            <w:tcBorders>
              <w:top w:val="single" w:sz="1" w:space="0" w:color="DDCCCC"/>
              <w:left w:val="single" w:sz="1" w:space="0" w:color="DDCCCC"/>
              <w:bottom w:val="single" w:sz="1" w:space="0" w:color="DDCCCC"/>
              <w:right w:val="single" w:sz="1" w:space="0" w:color="DDCCCC"/>
            </w:tcBorders>
            <w:shd w:val="clear" w:color="auto" w:fill="F8F4F5"/>
            <w:tcMar>
              <w:top w:w="80" w:type="dxa"/>
              <w:left w:w="120" w:type="dxa"/>
              <w:bottom w:w="80" w:type="dxa"/>
              <w:right w:w="120" w:type="dxa"/>
            </w:tcMar>
          </w:tcPr>
          <w:p w:rsidR="00AB1A28" w:rsidRDefault="00000000">
            <w:pPr>
              <w:jc w:val="center"/>
            </w:pPr>
            <w:r>
              <w:rPr>
                <w:rFonts w:ascii="Calibri" w:eastAsia="Calibri" w:hAnsi="Calibri" w:cs="Calibri"/>
                <w:b/>
                <w:bCs/>
                <w:color w:val="8A1030"/>
                <w:sz w:val="19"/>
                <w:szCs w:val="19"/>
              </w:rPr>
              <w:t>$8,000</w:t>
            </w:r>
          </w:p>
        </w:tc>
        <w:tc>
          <w:tcPr>
            <w:tcW w:w="0" w:type="auto"/>
            <w:tcBorders>
              <w:top w:val="single" w:sz="1" w:space="0" w:color="DDCCCC"/>
              <w:left w:val="single" w:sz="1" w:space="0" w:color="DDCCCC"/>
              <w:bottom w:val="single" w:sz="1" w:space="0" w:color="DDCCCC"/>
              <w:right w:val="single" w:sz="1" w:space="0" w:color="DDCCCC"/>
            </w:tcBorders>
            <w:shd w:val="clear" w:color="auto" w:fill="F8F4F5"/>
            <w:tcMar>
              <w:top w:w="80" w:type="dxa"/>
              <w:left w:w="120" w:type="dxa"/>
              <w:bottom w:w="80" w:type="dxa"/>
              <w:right w:w="120" w:type="dxa"/>
            </w:tcMar>
          </w:tcPr>
          <w:p w:rsidR="00AB1A28" w:rsidRDefault="00000000">
            <w:pPr>
              <w:jc w:val="center"/>
            </w:pPr>
            <w:r>
              <w:rPr>
                <w:rFonts w:ascii="Calibri" w:eastAsia="Calibri" w:hAnsi="Calibri" w:cs="Calibri"/>
                <w:color w:val="4A4A4A"/>
                <w:sz w:val="19"/>
                <w:szCs w:val="19"/>
              </w:rPr>
              <w:t>1.04M</w:t>
            </w:r>
          </w:p>
        </w:tc>
      </w:tr>
      <w:tr w:rsidR="00AB1A28">
        <w:tblPrEx>
          <w:tblCellMar>
            <w:top w:w="0" w:type="dxa"/>
            <w:bottom w:w="0" w:type="dxa"/>
          </w:tblCellMar>
        </w:tblPrEx>
        <w:tc>
          <w:tcPr>
            <w:tcW w:w="0" w:type="auto"/>
            <w:tcBorders>
              <w:top w:val="single" w:sz="1" w:space="0" w:color="DDCCCC"/>
              <w:left w:val="single" w:sz="1" w:space="0" w:color="DDCCCC"/>
              <w:bottom w:val="single" w:sz="1" w:space="0" w:color="DDCCCC"/>
              <w:right w:val="single" w:sz="1" w:space="0" w:color="DDCCCC"/>
            </w:tcBorders>
            <w:shd w:val="clear" w:color="auto" w:fill="FFFFFF"/>
            <w:tcMar>
              <w:top w:w="80" w:type="dxa"/>
              <w:left w:w="120" w:type="dxa"/>
              <w:bottom w:w="80" w:type="dxa"/>
              <w:right w:w="120" w:type="dxa"/>
            </w:tcMar>
          </w:tcPr>
          <w:p w:rsidR="00AB1A28" w:rsidRDefault="00000000">
            <w:r>
              <w:rPr>
                <w:rFonts w:ascii="Calibri" w:eastAsia="Calibri" w:hAnsi="Calibri" w:cs="Calibri"/>
                <w:color w:val="4A4A4A"/>
                <w:sz w:val="19"/>
                <w:szCs w:val="19"/>
              </w:rPr>
              <w:t>Research, verification &amp; data team</w:t>
            </w:r>
          </w:p>
        </w:tc>
        <w:tc>
          <w:tcPr>
            <w:tcW w:w="0" w:type="auto"/>
            <w:tcBorders>
              <w:top w:val="single" w:sz="1" w:space="0" w:color="DDCCCC"/>
              <w:left w:val="single" w:sz="1" w:space="0" w:color="DDCCCC"/>
              <w:bottom w:val="single" w:sz="1" w:space="0" w:color="DDCCCC"/>
              <w:right w:val="single" w:sz="1" w:space="0" w:color="DDCCCC"/>
            </w:tcBorders>
            <w:shd w:val="clear" w:color="auto" w:fill="FFFFFF"/>
            <w:tcMar>
              <w:top w:w="80" w:type="dxa"/>
              <w:left w:w="120" w:type="dxa"/>
              <w:bottom w:w="80" w:type="dxa"/>
              <w:right w:w="120" w:type="dxa"/>
            </w:tcMar>
          </w:tcPr>
          <w:p w:rsidR="00AB1A28" w:rsidRDefault="00000000">
            <w:pPr>
              <w:jc w:val="center"/>
            </w:pPr>
            <w:r>
              <w:rPr>
                <w:rFonts w:ascii="Calibri" w:eastAsia="Calibri" w:hAnsi="Calibri" w:cs="Calibri"/>
                <w:b/>
                <w:bCs/>
                <w:color w:val="8A1030"/>
                <w:sz w:val="19"/>
                <w:szCs w:val="19"/>
              </w:rPr>
              <w:t>$30,000</w:t>
            </w:r>
          </w:p>
        </w:tc>
        <w:tc>
          <w:tcPr>
            <w:tcW w:w="0" w:type="auto"/>
            <w:tcBorders>
              <w:top w:val="single" w:sz="1" w:space="0" w:color="DDCCCC"/>
              <w:left w:val="single" w:sz="1" w:space="0" w:color="DDCCCC"/>
              <w:bottom w:val="single" w:sz="1" w:space="0" w:color="DDCCCC"/>
              <w:right w:val="single" w:sz="1" w:space="0" w:color="DDCCCC"/>
            </w:tcBorders>
            <w:shd w:val="clear" w:color="auto" w:fill="FFFFFF"/>
            <w:tcMar>
              <w:top w:w="80" w:type="dxa"/>
              <w:left w:w="120" w:type="dxa"/>
              <w:bottom w:w="80" w:type="dxa"/>
              <w:right w:w="120" w:type="dxa"/>
            </w:tcMar>
          </w:tcPr>
          <w:p w:rsidR="00AB1A28" w:rsidRDefault="00000000">
            <w:pPr>
              <w:jc w:val="center"/>
            </w:pPr>
            <w:r>
              <w:rPr>
                <w:rFonts w:ascii="Calibri" w:eastAsia="Calibri" w:hAnsi="Calibri" w:cs="Calibri"/>
                <w:color w:val="4A4A4A"/>
                <w:sz w:val="19"/>
                <w:szCs w:val="19"/>
              </w:rPr>
              <w:t>3.9M</w:t>
            </w:r>
          </w:p>
        </w:tc>
      </w:tr>
      <w:tr w:rsidR="00AB1A28">
        <w:tblPrEx>
          <w:tblCellMar>
            <w:top w:w="0" w:type="dxa"/>
            <w:bottom w:w="0" w:type="dxa"/>
          </w:tblCellMar>
        </w:tblPrEx>
        <w:tc>
          <w:tcPr>
            <w:tcW w:w="0" w:type="auto"/>
            <w:tcBorders>
              <w:top w:val="single" w:sz="1" w:space="0" w:color="DDCCCC"/>
              <w:left w:val="single" w:sz="1" w:space="0" w:color="DDCCCC"/>
              <w:bottom w:val="single" w:sz="1" w:space="0" w:color="DDCCCC"/>
              <w:right w:val="single" w:sz="1" w:space="0" w:color="DDCCCC"/>
            </w:tcBorders>
            <w:shd w:val="clear" w:color="auto" w:fill="F8F4F5"/>
            <w:tcMar>
              <w:top w:w="80" w:type="dxa"/>
              <w:left w:w="120" w:type="dxa"/>
              <w:bottom w:w="80" w:type="dxa"/>
              <w:right w:w="120" w:type="dxa"/>
            </w:tcMar>
          </w:tcPr>
          <w:p w:rsidR="00AB1A28" w:rsidRDefault="00000000">
            <w:r>
              <w:rPr>
                <w:rFonts w:ascii="Calibri" w:eastAsia="Calibri" w:hAnsi="Calibri" w:cs="Calibri"/>
                <w:color w:val="4A4A4A"/>
                <w:sz w:val="19"/>
                <w:szCs w:val="19"/>
              </w:rPr>
              <w:t>Community outreach &amp; CSO partnerships</w:t>
            </w:r>
          </w:p>
        </w:tc>
        <w:tc>
          <w:tcPr>
            <w:tcW w:w="0" w:type="auto"/>
            <w:tcBorders>
              <w:top w:val="single" w:sz="1" w:space="0" w:color="DDCCCC"/>
              <w:left w:val="single" w:sz="1" w:space="0" w:color="DDCCCC"/>
              <w:bottom w:val="single" w:sz="1" w:space="0" w:color="DDCCCC"/>
              <w:right w:val="single" w:sz="1" w:space="0" w:color="DDCCCC"/>
            </w:tcBorders>
            <w:shd w:val="clear" w:color="auto" w:fill="F8F4F5"/>
            <w:tcMar>
              <w:top w:w="80" w:type="dxa"/>
              <w:left w:w="120" w:type="dxa"/>
              <w:bottom w:w="80" w:type="dxa"/>
              <w:right w:w="120" w:type="dxa"/>
            </w:tcMar>
          </w:tcPr>
          <w:p w:rsidR="00AB1A28" w:rsidRDefault="00000000">
            <w:pPr>
              <w:jc w:val="center"/>
            </w:pPr>
            <w:r>
              <w:rPr>
                <w:rFonts w:ascii="Calibri" w:eastAsia="Calibri" w:hAnsi="Calibri" w:cs="Calibri"/>
                <w:b/>
                <w:bCs/>
                <w:color w:val="8A1030"/>
                <w:sz w:val="19"/>
                <w:szCs w:val="19"/>
              </w:rPr>
              <w:t>$17,000</w:t>
            </w:r>
          </w:p>
        </w:tc>
        <w:tc>
          <w:tcPr>
            <w:tcW w:w="0" w:type="auto"/>
            <w:tcBorders>
              <w:top w:val="single" w:sz="1" w:space="0" w:color="DDCCCC"/>
              <w:left w:val="single" w:sz="1" w:space="0" w:color="DDCCCC"/>
              <w:bottom w:val="single" w:sz="1" w:space="0" w:color="DDCCCC"/>
              <w:right w:val="single" w:sz="1" w:space="0" w:color="DDCCCC"/>
            </w:tcBorders>
            <w:shd w:val="clear" w:color="auto" w:fill="F8F4F5"/>
            <w:tcMar>
              <w:top w:w="80" w:type="dxa"/>
              <w:left w:w="120" w:type="dxa"/>
              <w:bottom w:w="80" w:type="dxa"/>
              <w:right w:w="120" w:type="dxa"/>
            </w:tcMar>
          </w:tcPr>
          <w:p w:rsidR="00AB1A28" w:rsidRDefault="00000000">
            <w:pPr>
              <w:jc w:val="center"/>
            </w:pPr>
            <w:r>
              <w:rPr>
                <w:rFonts w:ascii="Calibri" w:eastAsia="Calibri" w:hAnsi="Calibri" w:cs="Calibri"/>
                <w:color w:val="4A4A4A"/>
                <w:sz w:val="19"/>
                <w:szCs w:val="19"/>
              </w:rPr>
              <w:t>2.21M</w:t>
            </w:r>
          </w:p>
        </w:tc>
      </w:tr>
      <w:tr w:rsidR="00AB1A28">
        <w:tblPrEx>
          <w:tblCellMar>
            <w:top w:w="0" w:type="dxa"/>
            <w:bottom w:w="0" w:type="dxa"/>
          </w:tblCellMar>
        </w:tblPrEx>
        <w:tc>
          <w:tcPr>
            <w:tcW w:w="0" w:type="auto"/>
            <w:tcBorders>
              <w:top w:val="single" w:sz="1" w:space="0" w:color="DDCCCC"/>
              <w:left w:val="single" w:sz="1" w:space="0" w:color="DDCCCC"/>
              <w:bottom w:val="single" w:sz="1" w:space="0" w:color="DDCCCC"/>
              <w:right w:val="single" w:sz="1" w:space="0" w:color="DDCCCC"/>
            </w:tcBorders>
            <w:shd w:val="clear" w:color="auto" w:fill="FFFFFF"/>
            <w:tcMar>
              <w:top w:w="80" w:type="dxa"/>
              <w:left w:w="120" w:type="dxa"/>
              <w:bottom w:w="80" w:type="dxa"/>
              <w:right w:w="120" w:type="dxa"/>
            </w:tcMar>
          </w:tcPr>
          <w:p w:rsidR="00AB1A28" w:rsidRDefault="00000000">
            <w:r>
              <w:rPr>
                <w:rFonts w:ascii="Calibri" w:eastAsia="Calibri" w:hAnsi="Calibri" w:cs="Calibri"/>
                <w:color w:val="4A4A4A"/>
                <w:sz w:val="19"/>
                <w:szCs w:val="19"/>
              </w:rPr>
              <w:t>Communications &amp; media intelligence</w:t>
            </w:r>
          </w:p>
        </w:tc>
        <w:tc>
          <w:tcPr>
            <w:tcW w:w="0" w:type="auto"/>
            <w:tcBorders>
              <w:top w:val="single" w:sz="1" w:space="0" w:color="DDCCCC"/>
              <w:left w:val="single" w:sz="1" w:space="0" w:color="DDCCCC"/>
              <w:bottom w:val="single" w:sz="1" w:space="0" w:color="DDCCCC"/>
              <w:right w:val="single" w:sz="1" w:space="0" w:color="DDCCCC"/>
            </w:tcBorders>
            <w:shd w:val="clear" w:color="auto" w:fill="FFFFFF"/>
            <w:tcMar>
              <w:top w:w="80" w:type="dxa"/>
              <w:left w:w="120" w:type="dxa"/>
              <w:bottom w:w="80" w:type="dxa"/>
              <w:right w:w="120" w:type="dxa"/>
            </w:tcMar>
          </w:tcPr>
          <w:p w:rsidR="00AB1A28" w:rsidRDefault="00000000">
            <w:pPr>
              <w:jc w:val="center"/>
            </w:pPr>
            <w:r>
              <w:rPr>
                <w:rFonts w:ascii="Calibri" w:eastAsia="Calibri" w:hAnsi="Calibri" w:cs="Calibri"/>
                <w:b/>
                <w:bCs/>
                <w:color w:val="8A1030"/>
                <w:sz w:val="19"/>
                <w:szCs w:val="19"/>
              </w:rPr>
              <w:t>$15,000</w:t>
            </w:r>
          </w:p>
        </w:tc>
        <w:tc>
          <w:tcPr>
            <w:tcW w:w="0" w:type="auto"/>
            <w:tcBorders>
              <w:top w:val="single" w:sz="1" w:space="0" w:color="DDCCCC"/>
              <w:left w:val="single" w:sz="1" w:space="0" w:color="DDCCCC"/>
              <w:bottom w:val="single" w:sz="1" w:space="0" w:color="DDCCCC"/>
              <w:right w:val="single" w:sz="1" w:space="0" w:color="DDCCCC"/>
            </w:tcBorders>
            <w:shd w:val="clear" w:color="auto" w:fill="FFFFFF"/>
            <w:tcMar>
              <w:top w:w="80" w:type="dxa"/>
              <w:left w:w="120" w:type="dxa"/>
              <w:bottom w:w="80" w:type="dxa"/>
              <w:right w:w="120" w:type="dxa"/>
            </w:tcMar>
          </w:tcPr>
          <w:p w:rsidR="00AB1A28" w:rsidRDefault="00000000">
            <w:pPr>
              <w:jc w:val="center"/>
            </w:pPr>
            <w:r>
              <w:rPr>
                <w:rFonts w:ascii="Calibri" w:eastAsia="Calibri" w:hAnsi="Calibri" w:cs="Calibri"/>
                <w:color w:val="4A4A4A"/>
                <w:sz w:val="19"/>
                <w:szCs w:val="19"/>
              </w:rPr>
              <w:t>1.95M</w:t>
            </w:r>
          </w:p>
        </w:tc>
      </w:tr>
      <w:tr w:rsidR="00AB1A28">
        <w:tblPrEx>
          <w:tblCellMar>
            <w:top w:w="0" w:type="dxa"/>
            <w:bottom w:w="0" w:type="dxa"/>
          </w:tblCellMar>
        </w:tblPrEx>
        <w:tc>
          <w:tcPr>
            <w:tcW w:w="0" w:type="auto"/>
            <w:tcBorders>
              <w:top w:val="single" w:sz="1" w:space="0" w:color="DDCCCC"/>
              <w:left w:val="single" w:sz="1" w:space="0" w:color="DDCCCC"/>
              <w:bottom w:val="single" w:sz="1" w:space="0" w:color="DDCCCC"/>
              <w:right w:val="single" w:sz="1" w:space="0" w:color="DDCCCC"/>
            </w:tcBorders>
            <w:shd w:val="clear" w:color="auto" w:fill="F8F4F5"/>
            <w:tcMar>
              <w:top w:w="80" w:type="dxa"/>
              <w:left w:w="120" w:type="dxa"/>
              <w:bottom w:w="80" w:type="dxa"/>
              <w:right w:w="120" w:type="dxa"/>
            </w:tcMar>
          </w:tcPr>
          <w:p w:rsidR="00AB1A28" w:rsidRDefault="00000000">
            <w:r>
              <w:rPr>
                <w:rFonts w:ascii="Calibri" w:eastAsia="Calibri" w:hAnsi="Calibri" w:cs="Calibri"/>
                <w:color w:val="4A4A4A"/>
                <w:sz w:val="19"/>
                <w:szCs w:val="19"/>
              </w:rPr>
              <w:t>Organisational management &amp; admin</w:t>
            </w:r>
          </w:p>
        </w:tc>
        <w:tc>
          <w:tcPr>
            <w:tcW w:w="0" w:type="auto"/>
            <w:tcBorders>
              <w:top w:val="single" w:sz="1" w:space="0" w:color="DDCCCC"/>
              <w:left w:val="single" w:sz="1" w:space="0" w:color="DDCCCC"/>
              <w:bottom w:val="single" w:sz="1" w:space="0" w:color="DDCCCC"/>
              <w:right w:val="single" w:sz="1" w:space="0" w:color="DDCCCC"/>
            </w:tcBorders>
            <w:shd w:val="clear" w:color="auto" w:fill="F8F4F5"/>
            <w:tcMar>
              <w:top w:w="80" w:type="dxa"/>
              <w:left w:w="120" w:type="dxa"/>
              <w:bottom w:w="80" w:type="dxa"/>
              <w:right w:w="120" w:type="dxa"/>
            </w:tcMar>
          </w:tcPr>
          <w:p w:rsidR="00AB1A28" w:rsidRDefault="00000000">
            <w:pPr>
              <w:jc w:val="center"/>
            </w:pPr>
            <w:r>
              <w:rPr>
                <w:rFonts w:ascii="Calibri" w:eastAsia="Calibri" w:hAnsi="Calibri" w:cs="Calibri"/>
                <w:b/>
                <w:bCs/>
                <w:color w:val="8A1030"/>
                <w:sz w:val="19"/>
                <w:szCs w:val="19"/>
              </w:rPr>
              <w:t>$10,000</w:t>
            </w:r>
          </w:p>
        </w:tc>
        <w:tc>
          <w:tcPr>
            <w:tcW w:w="0" w:type="auto"/>
            <w:tcBorders>
              <w:top w:val="single" w:sz="1" w:space="0" w:color="DDCCCC"/>
              <w:left w:val="single" w:sz="1" w:space="0" w:color="DDCCCC"/>
              <w:bottom w:val="single" w:sz="1" w:space="0" w:color="DDCCCC"/>
              <w:right w:val="single" w:sz="1" w:space="0" w:color="DDCCCC"/>
            </w:tcBorders>
            <w:shd w:val="clear" w:color="auto" w:fill="F8F4F5"/>
            <w:tcMar>
              <w:top w:w="80" w:type="dxa"/>
              <w:left w:w="120" w:type="dxa"/>
              <w:bottom w:w="80" w:type="dxa"/>
              <w:right w:w="120" w:type="dxa"/>
            </w:tcMar>
          </w:tcPr>
          <w:p w:rsidR="00AB1A28" w:rsidRDefault="00000000">
            <w:pPr>
              <w:jc w:val="center"/>
            </w:pPr>
            <w:r>
              <w:rPr>
                <w:rFonts w:ascii="Calibri" w:eastAsia="Calibri" w:hAnsi="Calibri" w:cs="Calibri"/>
                <w:color w:val="4A4A4A"/>
                <w:sz w:val="19"/>
                <w:szCs w:val="19"/>
              </w:rPr>
              <w:t>1.3M</w:t>
            </w:r>
          </w:p>
        </w:tc>
      </w:tr>
      <w:tr w:rsidR="00AB1A28">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8A1030"/>
            <w:tcMar>
              <w:top w:w="80" w:type="dxa"/>
              <w:left w:w="120" w:type="dxa"/>
              <w:bottom w:w="80" w:type="dxa"/>
              <w:right w:w="120" w:type="dxa"/>
            </w:tcMar>
          </w:tcPr>
          <w:p w:rsidR="00AB1A28" w:rsidRDefault="00000000">
            <w:r>
              <w:rPr>
                <w:rFonts w:ascii="Calibri" w:eastAsia="Calibri" w:hAnsi="Calibri" w:cs="Calibri"/>
                <w:b/>
                <w:bCs/>
                <w:color w:val="FFFFFF"/>
                <w:sz w:val="20"/>
                <w:szCs w:val="20"/>
              </w:rPr>
              <w:t>TOTAL — 18-month budget</w:t>
            </w:r>
          </w:p>
        </w:tc>
        <w:tc>
          <w:tcPr>
            <w:tcW w:w="0" w:type="auto"/>
            <w:tcBorders>
              <w:top w:val="none" w:sz="0" w:space="0" w:color="FFFFFF"/>
              <w:left w:val="none" w:sz="0" w:space="0" w:color="FFFFFF"/>
              <w:bottom w:val="none" w:sz="0" w:space="0" w:color="FFFFFF"/>
              <w:right w:val="none" w:sz="0" w:space="0" w:color="FFFFFF"/>
            </w:tcBorders>
            <w:shd w:val="clear" w:color="auto" w:fill="8A1030"/>
            <w:tcMar>
              <w:top w:w="80" w:type="dxa"/>
              <w:left w:w="120" w:type="dxa"/>
              <w:bottom w:w="80" w:type="dxa"/>
              <w:right w:w="120" w:type="dxa"/>
            </w:tcMar>
          </w:tcPr>
          <w:p w:rsidR="00AB1A28" w:rsidRDefault="00000000">
            <w:pPr>
              <w:jc w:val="center"/>
            </w:pPr>
            <w:r>
              <w:rPr>
                <w:rFonts w:ascii="Calibri" w:eastAsia="Calibri" w:hAnsi="Calibri" w:cs="Calibri"/>
                <w:b/>
                <w:bCs/>
                <w:color w:val="FFFFFF"/>
                <w:sz w:val="20"/>
                <w:szCs w:val="20"/>
              </w:rPr>
              <w:t>$110,000</w:t>
            </w:r>
          </w:p>
        </w:tc>
        <w:tc>
          <w:tcPr>
            <w:tcW w:w="0" w:type="auto"/>
            <w:tcBorders>
              <w:top w:val="none" w:sz="0" w:space="0" w:color="FFFFFF"/>
              <w:left w:val="none" w:sz="0" w:space="0" w:color="FFFFFF"/>
              <w:bottom w:val="none" w:sz="0" w:space="0" w:color="FFFFFF"/>
              <w:right w:val="none" w:sz="0" w:space="0" w:color="FFFFFF"/>
            </w:tcBorders>
            <w:shd w:val="clear" w:color="auto" w:fill="8A1030"/>
            <w:tcMar>
              <w:top w:w="80" w:type="dxa"/>
              <w:left w:w="120" w:type="dxa"/>
              <w:bottom w:w="80" w:type="dxa"/>
              <w:right w:w="120" w:type="dxa"/>
            </w:tcMar>
          </w:tcPr>
          <w:p w:rsidR="00AB1A28" w:rsidRDefault="00000000">
            <w:pPr>
              <w:jc w:val="center"/>
            </w:pPr>
            <w:r>
              <w:rPr>
                <w:rFonts w:ascii="Calibri" w:eastAsia="Calibri" w:hAnsi="Calibri" w:cs="Calibri"/>
                <w:b/>
                <w:bCs/>
                <w:color w:val="FFFFFF"/>
                <w:sz w:val="20"/>
                <w:szCs w:val="20"/>
              </w:rPr>
              <w:t>Ksh 14.3M</w:t>
            </w:r>
          </w:p>
        </w:tc>
      </w:tr>
    </w:tbl>
    <w:p w:rsidR="00AB1A28" w:rsidRDefault="00000000">
      <w:pPr>
        <w:spacing w:before="160"/>
      </w:pPr>
      <w:r>
        <w:rPr>
          <w:color w:val="4A4A4A"/>
        </w:rPr>
        <w:t>Funding is sought from UN</w:t>
      </w:r>
      <w:r w:rsidR="00583289">
        <w:rPr>
          <w:color w:val="4A4A4A"/>
          <w:lang w:val="en-US"/>
        </w:rPr>
        <w:t>/AU</w:t>
      </w:r>
      <w:r>
        <w:rPr>
          <w:color w:val="4A4A4A"/>
        </w:rPr>
        <w:t xml:space="preserve"> agencies (UNFPA, UN Women), embassy small grants programmes (EU Delegation, FCDO, SIDA, Dutch Embassy, US Embassy), the Kenyan government through NGEC, and technology for good funds (Google.org, Omidyar Network Africa, Ford Foundation). Community Media Trust is open to phased or multi-donor arrangements.</w:t>
      </w:r>
    </w:p>
    <w:p w:rsidR="00AB1A28" w:rsidRDefault="00AB1A28">
      <w:pPr>
        <w:spacing w:before="200"/>
      </w:pPr>
    </w:p>
    <w:p w:rsidR="00AB1A28" w:rsidRDefault="00000000">
      <w:pPr>
        <w:pBdr>
          <w:bottom w:val="single" w:sz="12" w:space="0" w:color="8A1030"/>
        </w:pBdr>
        <w:spacing w:before="280" w:after="80"/>
      </w:pPr>
      <w:r>
        <w:rPr>
          <w:rFonts w:ascii="Calibri" w:eastAsia="Calibri" w:hAnsi="Calibri" w:cs="Calibri"/>
          <w:b/>
          <w:bCs/>
          <w:color w:val="8A1030"/>
          <w:spacing w:val="80"/>
          <w:sz w:val="24"/>
          <w:szCs w:val="24"/>
        </w:rPr>
        <w:t>6.  ABOUT COMMUNITY MEDIA TRUST</w:t>
      </w:r>
    </w:p>
    <w:p w:rsidR="00AB1A28" w:rsidRDefault="00000000">
      <w:pPr>
        <w:spacing w:before="80" w:after="80"/>
      </w:pPr>
      <w:r>
        <w:rPr>
          <w:color w:val="4A4A4A"/>
        </w:rPr>
        <w:t>Community Media Trust is a registered organisation based in Nairobi, Kenya, working at the intersection of civic technology, public interest media and gender justice. The organisation builds digital infrastructure that amplifies marginalised voices, holds power accountable and equips communities with tools to protect themselves.</w:t>
      </w:r>
    </w:p>
    <w:p w:rsidR="00AB1A28" w:rsidRDefault="00000000">
      <w:pPr>
        <w:spacing w:before="80" w:after="80"/>
      </w:pPr>
      <w:r>
        <w:rPr>
          <w:color w:val="4A4A4A"/>
        </w:rPr>
        <w:t>FemSaidia Kenya — including hepa, RedFlag, Itika, SaInt and Salmin — was developed by Community Media Trust in response to a documented crisis. Victor Ombonya, Executive Director of Community Media Trust, served as Lead Developer. He has spent over two years harvesting and verifying femicide case data from news sources, court records and community documentation — building the verified case database at the heart of the platform.</w:t>
      </w:r>
    </w:p>
    <w:p w:rsidR="00AB1A28" w:rsidRDefault="00AB1A28">
      <w:pPr>
        <w:spacing w:before="200"/>
      </w:pPr>
    </w:p>
    <w:p w:rsidR="00AB1A28" w:rsidRDefault="00000000">
      <w:pPr>
        <w:pBdr>
          <w:bottom w:val="single" w:sz="12" w:space="0" w:color="8A1030"/>
        </w:pBdr>
        <w:spacing w:before="280" w:after="80"/>
      </w:pPr>
      <w:r>
        <w:rPr>
          <w:rFonts w:ascii="Calibri" w:eastAsia="Calibri" w:hAnsi="Calibri" w:cs="Calibri"/>
          <w:b/>
          <w:bCs/>
          <w:color w:val="8A1030"/>
          <w:spacing w:val="80"/>
          <w:sz w:val="24"/>
          <w:szCs w:val="24"/>
        </w:rPr>
        <w:t>7.  CONCLUSION AND CALL TO ACTION</w:t>
      </w:r>
    </w:p>
    <w:p w:rsidR="00AB1A28" w:rsidRDefault="00000000">
      <w:pPr>
        <w:spacing w:before="80" w:after="80"/>
      </w:pPr>
      <w:r>
        <w:rPr>
          <w:color w:val="4A4A4A"/>
        </w:rPr>
        <w:t>FemSaidia Kenya is not a proposal. It is a live platform with six deployed tools, a working USSD shortcode, a live push notification emergency dispatch system, and a growing case database. Development risk is zero. The ask is for operational funding to make it sustainable, scalable and properly staffed.</w:t>
      </w:r>
    </w:p>
    <w:p w:rsidR="00AB1A28" w:rsidRDefault="00000000">
      <w:pPr>
        <w:spacing w:before="80" w:after="80"/>
      </w:pPr>
      <w:r>
        <w:rPr>
          <w:color w:val="4A4A4A"/>
        </w:rPr>
        <w:t>The platform is uniquely positioned to deliver against GBV programme indicators for government, UN agencies and donors simultaneously. It is locally owned, locally built, and rooted in documented Kenyan femicide data. It reaches women on smartphones and basic phones, in cities and rural areas, with and without internet.</w:t>
      </w:r>
    </w:p>
    <w:p w:rsidR="00AB1A28" w:rsidRDefault="00000000">
      <w:pPr>
        <w:spacing w:before="80" w:after="80"/>
      </w:pPr>
      <w:r>
        <w:rPr>
          <w:color w:val="4A4A4A"/>
        </w:rPr>
        <w:t>We invite prospective partners to visit femsaidiakenya.org, install hepa at hepa.femsaidiakenya.org, and dial *384*89056# to experience the tools firsthand. We are available for briefings, site visits and partnership discussions at any time.</w:t>
      </w:r>
    </w:p>
    <w:p w:rsidR="00AB1A28" w:rsidRDefault="00AB1A28">
      <w:pPr>
        <w:spacing w:before="20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AB1A28">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80410"/>
            <w:tcMar>
              <w:top w:w="160" w:type="dxa"/>
              <w:left w:w="280" w:type="dxa"/>
              <w:bottom w:w="160" w:type="dxa"/>
              <w:right w:w="280" w:type="dxa"/>
            </w:tcMar>
          </w:tcPr>
          <w:p w:rsidR="00AB1A28" w:rsidRDefault="00000000">
            <w:pPr>
              <w:spacing w:after="60"/>
            </w:pPr>
            <w:r>
              <w:rPr>
                <w:b/>
                <w:bCs/>
                <w:color w:val="FFFFFF"/>
                <w:sz w:val="24"/>
                <w:szCs w:val="24"/>
              </w:rPr>
              <w:t>Victor Ombonya</w:t>
            </w:r>
            <w:r>
              <w:rPr>
                <w:rFonts w:ascii="Calibri" w:eastAsia="Calibri" w:hAnsi="Calibri" w:cs="Calibri"/>
                <w:color w:val="D4BEC4"/>
                <w:sz w:val="20"/>
                <w:szCs w:val="20"/>
              </w:rPr>
              <w:t xml:space="preserve">  ·  Executive Director &amp; Lead Developer</w:t>
            </w:r>
          </w:p>
          <w:p w:rsidR="00AB1A28" w:rsidRDefault="00000000">
            <w:pPr>
              <w:spacing w:after="40"/>
            </w:pPr>
            <w:r>
              <w:rPr>
                <w:rFonts w:ascii="Calibri" w:eastAsia="Calibri" w:hAnsi="Calibri" w:cs="Calibri"/>
                <w:color w:val="D4BEC4"/>
                <w:sz w:val="20"/>
                <w:szCs w:val="20"/>
              </w:rPr>
              <w:t>Community Media Trust  ·  Nairobi, Kenya</w:t>
            </w:r>
          </w:p>
          <w:p w:rsidR="00AB1A28" w:rsidRDefault="00000000">
            <w:r>
              <w:rPr>
                <w:rFonts w:ascii="Calibri" w:eastAsia="Calibri" w:hAnsi="Calibri" w:cs="Calibri"/>
                <w:b/>
                <w:bCs/>
                <w:color w:val="FFFFFF"/>
                <w:sz w:val="20"/>
                <w:szCs w:val="20"/>
              </w:rPr>
              <w:t>femsaidiakenya.org  ·  hepa.femsaidiakenya.org  ·  *384*89056#</w:t>
            </w:r>
          </w:p>
        </w:tc>
      </w:tr>
    </w:tbl>
    <w:p w:rsidR="003C724B" w:rsidRDefault="003C724B"/>
    <w:sectPr w:rsidR="003C724B">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E0904"/>
    <w:multiLevelType w:val="hybridMultilevel"/>
    <w:tmpl w:val="3C26F22C"/>
    <w:lvl w:ilvl="0" w:tplc="30720622">
      <w:start w:val="1"/>
      <w:numFmt w:val="bullet"/>
      <w:lvlText w:val="●"/>
      <w:lvlJc w:val="left"/>
      <w:pPr>
        <w:ind w:left="720" w:hanging="360"/>
      </w:pPr>
    </w:lvl>
    <w:lvl w:ilvl="1" w:tplc="86120336">
      <w:start w:val="1"/>
      <w:numFmt w:val="bullet"/>
      <w:lvlText w:val="○"/>
      <w:lvlJc w:val="left"/>
      <w:pPr>
        <w:ind w:left="1440" w:hanging="360"/>
      </w:pPr>
    </w:lvl>
    <w:lvl w:ilvl="2" w:tplc="6C06AF14">
      <w:start w:val="1"/>
      <w:numFmt w:val="bullet"/>
      <w:lvlText w:val="■"/>
      <w:lvlJc w:val="left"/>
      <w:pPr>
        <w:ind w:left="2160" w:hanging="360"/>
      </w:pPr>
    </w:lvl>
    <w:lvl w:ilvl="3" w:tplc="09EE7242">
      <w:start w:val="1"/>
      <w:numFmt w:val="bullet"/>
      <w:lvlText w:val="●"/>
      <w:lvlJc w:val="left"/>
      <w:pPr>
        <w:ind w:left="2880" w:hanging="360"/>
      </w:pPr>
    </w:lvl>
    <w:lvl w:ilvl="4" w:tplc="CDB4240C">
      <w:start w:val="1"/>
      <w:numFmt w:val="bullet"/>
      <w:lvlText w:val="○"/>
      <w:lvlJc w:val="left"/>
      <w:pPr>
        <w:ind w:left="3600" w:hanging="360"/>
      </w:pPr>
    </w:lvl>
    <w:lvl w:ilvl="5" w:tplc="37564E72">
      <w:start w:val="1"/>
      <w:numFmt w:val="bullet"/>
      <w:lvlText w:val="■"/>
      <w:lvlJc w:val="left"/>
      <w:pPr>
        <w:ind w:left="4320" w:hanging="360"/>
      </w:pPr>
    </w:lvl>
    <w:lvl w:ilvl="6" w:tplc="C376FEDC">
      <w:start w:val="1"/>
      <w:numFmt w:val="bullet"/>
      <w:lvlText w:val="●"/>
      <w:lvlJc w:val="left"/>
      <w:pPr>
        <w:ind w:left="5040" w:hanging="360"/>
      </w:pPr>
    </w:lvl>
    <w:lvl w:ilvl="7" w:tplc="E9A85470">
      <w:start w:val="1"/>
      <w:numFmt w:val="bullet"/>
      <w:lvlText w:val="●"/>
      <w:lvlJc w:val="left"/>
      <w:pPr>
        <w:ind w:left="5760" w:hanging="360"/>
      </w:pPr>
    </w:lvl>
    <w:lvl w:ilvl="8" w:tplc="DF9871CA">
      <w:start w:val="1"/>
      <w:numFmt w:val="bullet"/>
      <w:lvlText w:val="●"/>
      <w:lvlJc w:val="left"/>
      <w:pPr>
        <w:ind w:left="6480" w:hanging="360"/>
      </w:pPr>
    </w:lvl>
  </w:abstractNum>
  <w:abstractNum w:abstractNumId="1" w15:restartNumberingAfterBreak="0">
    <w:nsid w:val="485E7614"/>
    <w:multiLevelType w:val="hybridMultilevel"/>
    <w:tmpl w:val="5492B48E"/>
    <w:lvl w:ilvl="0" w:tplc="2D2E8720">
      <w:start w:val="1"/>
      <w:numFmt w:val="decimal"/>
      <w:lvlText w:val="%1."/>
      <w:lvlJc w:val="left"/>
      <w:pPr>
        <w:ind w:left="560" w:hanging="280"/>
      </w:pPr>
    </w:lvl>
    <w:lvl w:ilvl="1" w:tplc="809C6AD0">
      <w:numFmt w:val="decimal"/>
      <w:lvlText w:val=""/>
      <w:lvlJc w:val="left"/>
    </w:lvl>
    <w:lvl w:ilvl="2" w:tplc="4FBC6DA0">
      <w:numFmt w:val="decimal"/>
      <w:lvlText w:val=""/>
      <w:lvlJc w:val="left"/>
    </w:lvl>
    <w:lvl w:ilvl="3" w:tplc="1A8A7282">
      <w:numFmt w:val="decimal"/>
      <w:lvlText w:val=""/>
      <w:lvlJc w:val="left"/>
    </w:lvl>
    <w:lvl w:ilvl="4" w:tplc="5074F812">
      <w:numFmt w:val="decimal"/>
      <w:lvlText w:val=""/>
      <w:lvlJc w:val="left"/>
    </w:lvl>
    <w:lvl w:ilvl="5" w:tplc="810C3FAC">
      <w:numFmt w:val="decimal"/>
      <w:lvlText w:val=""/>
      <w:lvlJc w:val="left"/>
    </w:lvl>
    <w:lvl w:ilvl="6" w:tplc="FB8AA148">
      <w:numFmt w:val="decimal"/>
      <w:lvlText w:val=""/>
      <w:lvlJc w:val="left"/>
    </w:lvl>
    <w:lvl w:ilvl="7" w:tplc="C4B026D2">
      <w:numFmt w:val="decimal"/>
      <w:lvlText w:val=""/>
      <w:lvlJc w:val="left"/>
    </w:lvl>
    <w:lvl w:ilvl="8" w:tplc="A2C8651C">
      <w:numFmt w:val="decimal"/>
      <w:lvlText w:val=""/>
      <w:lvlJc w:val="left"/>
    </w:lvl>
  </w:abstractNum>
  <w:abstractNum w:abstractNumId="2" w15:restartNumberingAfterBreak="0">
    <w:nsid w:val="6A992E35"/>
    <w:multiLevelType w:val="hybridMultilevel"/>
    <w:tmpl w:val="E3BC361E"/>
    <w:lvl w:ilvl="0" w:tplc="6AA252DC">
      <w:start w:val="1"/>
      <w:numFmt w:val="bullet"/>
      <w:lvlText w:val="•"/>
      <w:lvlJc w:val="left"/>
      <w:pPr>
        <w:ind w:left="560" w:hanging="280"/>
      </w:pPr>
    </w:lvl>
    <w:lvl w:ilvl="1" w:tplc="386CFE7E">
      <w:numFmt w:val="decimal"/>
      <w:lvlText w:val=""/>
      <w:lvlJc w:val="left"/>
    </w:lvl>
    <w:lvl w:ilvl="2" w:tplc="E57A19C8">
      <w:numFmt w:val="decimal"/>
      <w:lvlText w:val=""/>
      <w:lvlJc w:val="left"/>
    </w:lvl>
    <w:lvl w:ilvl="3" w:tplc="867CABEA">
      <w:numFmt w:val="decimal"/>
      <w:lvlText w:val=""/>
      <w:lvlJc w:val="left"/>
    </w:lvl>
    <w:lvl w:ilvl="4" w:tplc="D8C8EB14">
      <w:numFmt w:val="decimal"/>
      <w:lvlText w:val=""/>
      <w:lvlJc w:val="left"/>
    </w:lvl>
    <w:lvl w:ilvl="5" w:tplc="010C830E">
      <w:numFmt w:val="decimal"/>
      <w:lvlText w:val=""/>
      <w:lvlJc w:val="left"/>
    </w:lvl>
    <w:lvl w:ilvl="6" w:tplc="1F149AC2">
      <w:numFmt w:val="decimal"/>
      <w:lvlText w:val=""/>
      <w:lvlJc w:val="left"/>
    </w:lvl>
    <w:lvl w:ilvl="7" w:tplc="B254E6D0">
      <w:numFmt w:val="decimal"/>
      <w:lvlText w:val=""/>
      <w:lvlJc w:val="left"/>
    </w:lvl>
    <w:lvl w:ilvl="8" w:tplc="653E8406">
      <w:numFmt w:val="decimal"/>
      <w:lvlText w:val=""/>
      <w:lvlJc w:val="left"/>
    </w:lvl>
  </w:abstractNum>
  <w:num w:numId="1" w16cid:durableId="1803426736">
    <w:abstractNumId w:val="0"/>
    <w:lvlOverride w:ilvl="0">
      <w:startOverride w:val="1"/>
    </w:lvlOverride>
  </w:num>
  <w:num w:numId="2" w16cid:durableId="21194458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A28"/>
    <w:rsid w:val="003C724B"/>
    <w:rsid w:val="00583289"/>
    <w:rsid w:val="00AB1A2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01C7BF35"/>
  <w15:docId w15:val="{EC07D7DB-27DC-4E4C-A156-4965072FC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2"/>
        <w:szCs w:val="22"/>
        <w:lang w:val="en-K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1854</Words>
  <Characters>10571</Characters>
  <Application>Microsoft Office Word</Application>
  <DocSecurity>0</DocSecurity>
  <Lines>88</Lines>
  <Paragraphs>24</Paragraphs>
  <ScaleCrop>false</ScaleCrop>
  <Company/>
  <LinksUpToDate>false</LinksUpToDate>
  <CharactersWithSpaces>12401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2026-05-14T12:08:00Z</dcterms:created>
  <dcterms:modified xsi:type="dcterms:W3CDTF">2026-06-24T09:59:00Z</dcterms:modified>
</cp:coreProperties>
</file>