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60"/>
        <w:jc w:val="center"/>
        <w:rPr/>
      </w:pPr>
      <w:r>
        <w:rPr/>
        <w:drawing>
          <wp:inline distT="0" distB="0" distL="0" distR="0">
            <wp:extent cx="914400" cy="78105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jc w:val="left"/>
        <w:tblInd w:w="0" w:type="dxa"/>
        <w:tblLayout w:type="fixed"/>
        <w:tblCellMar>
          <w:top w:w="520" w:type="dxa"/>
          <w:left w:w="360" w:type="dxa"/>
          <w:bottom w:w="520" w:type="dxa"/>
          <w:right w:w="36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4" w:space="0" w:color="111827"/>
              <w:left w:val="single" w:sz="4" w:space="0" w:color="111827"/>
              <w:bottom w:val="single" w:sz="4" w:space="0" w:color="111827"/>
              <w:right w:val="single" w:sz="4" w:space="0" w:color="111827"/>
            </w:tcBorders>
            <w:shd w:fill="111827" w:val="clear"/>
          </w:tcPr>
          <w:p>
            <w:pPr>
              <w:pStyle w:val="Normal"/>
              <w:spacing w:before="0" w:after="200"/>
              <w:rPr/>
            </w:pPr>
            <w:r>
              <w:rPr>
                <w:rFonts w:eastAsia="Calibri" w:cs="Calibri"/>
                <w:b/>
                <w:bCs/>
                <w:color w:val="FFFFFF"/>
                <w:sz w:val="30"/>
                <w:szCs w:val="30"/>
              </w:rPr>
              <w:t>Imaarisha</w:t>
            </w:r>
            <w:r>
              <w:rPr>
                <w:rFonts w:eastAsia="Calibri" w:cs="Calibri"/>
                <w:b/>
                <w:bCs/>
                <w:color w:val="C6A15B"/>
                <w:sz w:val="30"/>
                <w:szCs w:val="30"/>
              </w:rPr>
              <w:t>SRHR</w:t>
            </w:r>
          </w:p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C6A15B"/>
                <w:spacing w:val="40"/>
                <w:sz w:val="18"/>
                <w:szCs w:val="18"/>
              </w:rPr>
              <w:t>PHASE 2 · FACILITATOR &amp; TRAINING-OF-TRAINERS MANUAL</w:t>
            </w:r>
          </w:p>
          <w:p>
            <w:pPr>
              <w:pStyle w:val="Normal"/>
              <w:spacing w:before="0" w:after="20"/>
              <w:rPr/>
            </w:pPr>
            <w:r>
              <w:rPr>
                <w:rFonts w:eastAsia="Calibri" w:cs="Calibri"/>
                <w:b/>
                <w:bCs/>
                <w:color w:val="FFFFFF"/>
                <w:sz w:val="46"/>
                <w:szCs w:val="46"/>
              </w:rPr>
              <w:t>How to use</w:t>
            </w:r>
          </w:p>
          <w:p>
            <w:pPr>
              <w:pStyle w:val="Normal"/>
              <w:spacing w:before="0" w:after="160"/>
              <w:rPr/>
            </w:pPr>
            <w:r>
              <w:rPr>
                <w:rFonts w:eastAsia="Calibri" w:cs="Calibri"/>
                <w:b/>
                <w:bCs/>
                <w:color w:val="FFFFFF"/>
                <w:sz w:val="46"/>
                <w:szCs w:val="46"/>
              </w:rPr>
              <w:t>The Field Guide</w:t>
            </w:r>
          </w:p>
          <w:p>
            <w:pPr>
              <w:pStyle w:val="Normal"/>
              <w:spacing w:before="0" w:after="220"/>
              <w:rPr/>
            </w:pPr>
            <w:r>
              <w:rPr>
                <w:rFonts w:eastAsia="Calibri" w:cs="Calibri"/>
                <w:color w:val="C9D1E0"/>
                <w:sz w:val="24"/>
                <w:szCs w:val="24"/>
              </w:rPr>
              <w:t>A companion manual for facilitators and master trainers: how to run the ImaarishaSRHR Strategic Comms &amp; Reframing toolkit — in a workshop, a community session, or a training of trainers — using the interactive Field Guide and its printed job-aids.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8892B0"/>
                <w:sz w:val="18"/>
                <w:szCs w:val="18"/>
              </w:rPr>
              <w:t>Community Media Trust (CoMeT)  ·  July 2026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8892B0"/>
                <w:sz w:val="18"/>
                <w:szCs w:val="18"/>
              </w:rPr>
              <w:t>Companion to the Strategic Comms &amp; Reframing SRHR field guide</w:t>
            </w:r>
          </w:p>
          <w:p>
            <w:pPr>
              <w:pStyle w:val="Normal"/>
              <w:spacing w:before="0" w:after="40"/>
              <w:rPr/>
            </w:pPr>
            <w:r>
              <w:rPr>
                <w:rFonts w:eastAsia="Calibri" w:cs="Calibri"/>
                <w:color w:val="8892B0"/>
                <w:sz w:val="18"/>
                <w:szCs w:val="18"/>
              </w:rPr>
              <w:t>imaarishasrhr.org  ·  #ImaarishaSRHR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lineRule="exact" w:line="264" w:before="0" w:after="120"/>
        <w:jc w:val="center"/>
        <w:rPr/>
      </w:pPr>
      <w:r>
        <w:rPr>
          <w:rFonts w:eastAsia="Calibri" w:cs="Calibri"/>
          <w:i/>
          <w:iCs/>
          <w:color w:val="8892B0"/>
          <w:sz w:val="19"/>
          <w:szCs w:val="19"/>
        </w:rPr>
        <w:t>The guide teaches through people we come to know. This manual teaches you to hold the room while they do.</w:t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color w:val="C6A15B"/>
          <w:spacing w:val="30"/>
          <w:sz w:val="16"/>
          <w:szCs w:val="16"/>
        </w:rPr>
        <w:t>START HERE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What the Field Guide is — and what this manual adds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The Field Guide is the ImaarishaSRHR Strategic Comms &amp; Reframing toolkit, delivered as a living, interactive resource rather than a document to read once and shelve. It is built around a single Kenyan family — the Achiengs — so every framework arrives inside a scene you can picture, from a person the room comes to know. This manual is the facilitator’s companion: it does not repeat the guide’s content, it shows you how to run it with a group so the learning sticks and travels.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[2]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The resource in one page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What it is</w:t>
            </w:r>
          </w:p>
        </w:tc>
        <w:tc>
          <w:tcPr>
            <w:tcW w:w="467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How it reaches people</w:t>
            </w:r>
          </w:p>
        </w:tc>
      </w:tr>
      <w:tr>
        <w:trPr/>
        <w:tc>
          <w:tcPr>
            <w:tcW w:w="468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Eight modules — seven strategy modules (the system, disinformation, culture &amp; patriarchy, reframing, what works, the operating system, and the Mother &amp; Aunty frontier) plus a full Mother &amp; Aunty facilitator curriculum. Each module ends in one working tool.</w:t>
            </w:r>
          </w:p>
        </w:tc>
        <w:tc>
          <w:tcPr>
            <w:tcW w:w="467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Two tracks from one source. A digital app (installable, works offline, on phone or desktop) for interactive use; and printed one-page job-aids with QR codes that bridge paper back to the tools and audio — so it works in a clinic with no data just as well as on a phone.</w:t>
            </w:r>
          </w:p>
        </w:tc>
      </w:tr>
    </w:tbl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Everything in the guide is drawn from a triangulated Phase 1 evidence base. As a facilitator you do not need to master the evidence — you need to run the scenes and the tools, and let the family carry the argument.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[1]</w:t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EDF3EF"/>
              <w:left w:val="single" w:sz="28" w:space="0" w:color="2E6B4F"/>
              <w:bottom w:val="single" w:sz="2" w:space="0" w:color="EDF3EF"/>
              <w:right w:val="single" w:sz="2" w:space="0" w:color="EDF3EF"/>
            </w:tcBorders>
            <w:shd w:fill="EDF3E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2E6B4F"/>
                <w:spacing w:val="30"/>
                <w:sz w:val="14"/>
                <w:szCs w:val="14"/>
              </w:rPr>
              <w:t>ENTRY POINTS FOR YOUR ORGANISATION</w:t>
            </w:r>
            <w:r>
              <w:rPr>
                <w:rFonts w:eastAsia="Calibri" w:cs="Calibri"/>
                <w:b/>
                <w:bCs/>
                <w:color w:val="2E6B4F"/>
                <w:sz w:val="18"/>
                <w:szCs w:val="18"/>
              </w:rPr>
              <w:t xml:space="preserve">   ·   When to reach for which track</w:t>
            </w:r>
          </w:p>
          <w:p>
            <w:pPr>
              <w:pStyle w:val="Normal"/>
              <w:spacing w:lineRule="exact" w:line="262" w:before="0" w:after="58"/>
              <w:rPr/>
            </w:pPr>
            <w:r>
              <w:rPr>
                <w:rFonts w:eastAsia="Calibri" w:cs="Calibri"/>
                <w:b/>
                <w:bCs/>
                <w:color w:val="2E6B4F"/>
                <w:sz w:val="20"/>
                <w:szCs w:val="20"/>
              </w:rPr>
              <w:t xml:space="preserve">→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2C3340"/>
                <w:sz w:val="21"/>
                <w:szCs w:val="21"/>
              </w:rPr>
              <w:t>In a workshop with smartphones or a projector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2C3340"/>
                <w:sz w:val="21"/>
                <w:szCs w:val="21"/>
              </w:rPr>
              <w:t xml:space="preserve"> — use the app: open a module, run its interactive tool live, project the reframing worksheet or the disinformation quiz for the whole room.</w:t>
            </w:r>
          </w:p>
          <w:p>
            <w:pPr>
              <w:pStyle w:val="Normal"/>
              <w:spacing w:lineRule="exact" w:line="262" w:before="0" w:after="58"/>
              <w:rPr/>
            </w:pPr>
            <w:r>
              <w:rPr>
                <w:rFonts w:eastAsia="Calibri" w:cs="Calibri"/>
                <w:b/>
                <w:bCs/>
                <w:color w:val="2E6B4F"/>
                <w:sz w:val="20"/>
                <w:szCs w:val="20"/>
              </w:rPr>
              <w:t xml:space="preserve">→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2C3340"/>
                <w:sz w:val="21"/>
                <w:szCs w:val="21"/>
              </w:rPr>
              <w:t>In a community session, kitchen or clinic corner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2C3340"/>
                <w:sz w:val="21"/>
                <w:szCs w:val="21"/>
              </w:rPr>
              <w:t xml:space="preserve"> — use the printed job-aids and the character cards; the QR code lets anyone who wants to go deeper open the tool or the audio later.</w:t>
            </w:r>
          </w:p>
          <w:p>
            <w:pPr>
              <w:pStyle w:val="Normal"/>
              <w:spacing w:lineRule="exact" w:line="262" w:before="0" w:after="0"/>
              <w:rPr/>
            </w:pPr>
            <w:r>
              <w:rPr>
                <w:rFonts w:eastAsia="Calibri" w:cs="Calibri"/>
                <w:b/>
                <w:bCs/>
                <w:color w:val="2E6B4F"/>
                <w:sz w:val="20"/>
                <w:szCs w:val="20"/>
              </w:rPr>
              <w:t xml:space="preserve">→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2C3340"/>
                <w:sz w:val="21"/>
                <w:szCs w:val="21"/>
              </w:rPr>
              <w:t>For self-paced learning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2C3340"/>
                <w:sz w:val="21"/>
                <w:szCs w:val="21"/>
              </w:rPr>
              <w:t xml:space="preserve"> — send a partner the app link; the progress tracker remembers where they stopped.</w:t>
            </w:r>
          </w:p>
        </w:tc>
      </w:tr>
    </w:tbl>
    <w:p>
      <w:pPr>
        <w:pStyle w:val="Normal"/>
        <w:spacing w:before="0" w:after="150"/>
        <w:rPr/>
      </w:pPr>
      <w:r>
        <w:rPr/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Who facilitates, and who it is for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500"/>
        <w:gridCol w:w="6859"/>
      </w:tblGrid>
      <w:tr>
        <w:trPr>
          <w:tblHeader w:val="true"/>
        </w:trPr>
        <w:tc>
          <w:tcPr>
            <w:tcW w:w="25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Audience</w:t>
            </w:r>
          </w:p>
        </w:tc>
        <w:tc>
          <w:tcPr>
            <w:tcW w:w="68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What they take from it</w:t>
            </w:r>
          </w:p>
        </w:tc>
      </w:tr>
      <w:tr>
        <w:trPr/>
        <w:tc>
          <w:tcPr>
            <w:tcW w:w="25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SRHR organisations &amp; their staff</w:t>
            </w:r>
          </w:p>
        </w:tc>
        <w:tc>
          <w:tcPr>
            <w:tcW w:w="68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The strategy modules as team training: the evidence, the framework, and a tool each person can run in a real campaign.</w:t>
            </w:r>
          </w:p>
        </w:tc>
      </w:tr>
      <w:tr>
        <w:trPr/>
        <w:tc>
          <w:tcPr>
            <w:tcW w:w="25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Community mobilisers, CHPs, peer educators</w:t>
            </w:r>
          </w:p>
        </w:tc>
        <w:tc>
          <w:tcPr>
            <w:tcW w:w="68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The scenes and tools for group sessions; the Mother &amp; Aunty curriculum for working with older women.</w:t>
            </w:r>
          </w:p>
        </w:tc>
      </w:tr>
      <w:tr>
        <w:trPr/>
        <w:tc>
          <w:tcPr>
            <w:tcW w:w="25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Champion aunties &amp; faith allies</w:t>
            </w:r>
          </w:p>
        </w:tc>
        <w:tc>
          <w:tcPr>
            <w:tcW w:w="68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The Mother &amp; Aunty field cards — a script they can carry into the kitchen and the WhatsApp group.</w:t>
            </w:r>
          </w:p>
        </w:tc>
      </w:tr>
      <w:tr>
        <w:trPr/>
        <w:tc>
          <w:tcPr>
            <w:tcW w:w="25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Master trainers (this manual’s core reader)</w:t>
            </w:r>
          </w:p>
        </w:tc>
        <w:tc>
          <w:tcPr>
            <w:tcW w:w="68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How to cascade all of the above to new facilitators through a training of trainers.</w:t>
            </w:r>
          </w:p>
        </w:tc>
      </w:tr>
    </w:tbl>
    <w:p>
      <w:pPr>
        <w:pStyle w:val="Normal"/>
        <w:keepNext w:val="true"/>
        <w:spacing w:before="0" w:after="40"/>
        <w:rPr/>
      </w:pPr>
      <w:r>
        <w:br w:type="page"/>
      </w:r>
      <w:r>
        <w:rPr>
          <w:rFonts w:eastAsia="Calibri" w:cs="Calibri"/>
          <w:b/>
          <w:bCs/>
          <w:color w:val="C6A15B"/>
          <w:spacing w:val="30"/>
          <w:sz w:val="16"/>
          <w:szCs w:val="16"/>
        </w:rPr>
        <w:t>THE FACILITATOR’S STANCE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Five principles that hold the room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These are the non-negotiables. They come straight from the evidence on what changes minds in Kenyan SRHR — and from the guide’s own commitment that no one in the family is a villain.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[1]</w:t>
      </w:r>
    </w:p>
    <w:p>
      <w:pPr>
        <w:pStyle w:val="Normal"/>
        <w:spacing w:lineRule="exact" w:line="258" w:before="0" w:after="60"/>
        <w:rPr/>
      </w:pPr>
      <w:r>
        <w:rPr>
          <w:rFonts w:eastAsia="Calibri" w:cs="Calibri"/>
          <w:b/>
          <w:bCs/>
          <w:color w:val="222B42"/>
          <w:sz w:val="21"/>
          <w:szCs w:val="21"/>
        </w:rPr>
        <w:t xml:space="preserve">Never shame the messenger.  </w:t>
      </w:r>
      <w:r>
        <w:rPr>
          <w:rFonts w:eastAsia="Calibri" w:cs="Calibri"/>
          <w:color w:val="2C3340"/>
          <w:sz w:val="21"/>
          <w:szCs w:val="21"/>
        </w:rPr>
        <w:t>Beth, Silas, Tom and Cucu all act out of love and duty. The moment a participant feels judged for what they were taught, the door closes. The arc you are facilitating is conversion, not defeat.</w:t>
      </w:r>
    </w:p>
    <w:p>
      <w:pPr>
        <w:pStyle w:val="Normal"/>
        <w:spacing w:lineRule="exact" w:line="258" w:before="0" w:after="60"/>
        <w:rPr/>
      </w:pPr>
      <w:r>
        <w:rPr>
          <w:rFonts w:eastAsia="Calibri" w:cs="Calibri"/>
          <w:b/>
          <w:bCs/>
          <w:color w:val="222B42"/>
          <w:sz w:val="21"/>
          <w:szCs w:val="21"/>
        </w:rPr>
        <w:t xml:space="preserve">Teach through people, not bullet points.  </w:t>
      </w:r>
      <w:r>
        <w:rPr>
          <w:rFonts w:eastAsia="Calibri" w:cs="Calibri"/>
          <w:color w:val="2C3340"/>
          <w:sz w:val="21"/>
          <w:szCs w:val="21"/>
        </w:rPr>
        <w:t>Always open on the scene before the framework. “Agneta is afraid a pregnancy will end school” lands where “multi-dimensional barriers” does not. Let the room meet the person first.</w:t>
      </w:r>
    </w:p>
    <w:p>
      <w:pPr>
        <w:pStyle w:val="Normal"/>
        <w:spacing w:lineRule="exact" w:line="258" w:before="0" w:after="60"/>
        <w:rPr/>
      </w:pPr>
      <w:r>
        <w:rPr>
          <w:rFonts w:eastAsia="Calibri" w:cs="Calibri"/>
          <w:b/>
          <w:bCs/>
          <w:color w:val="222B42"/>
          <w:sz w:val="21"/>
          <w:szCs w:val="21"/>
        </w:rPr>
        <w:t xml:space="preserve">Lead with the value they already hold.  </w:t>
      </w:r>
      <w:r>
        <w:rPr>
          <w:rFonts w:eastAsia="Calibri" w:cs="Calibri"/>
          <w:color w:val="2C3340"/>
          <w:sz w:val="21"/>
          <w:szCs w:val="21"/>
        </w:rPr>
        <w:t>Health, family, provision, protection — arrive at rights from there. Model in the room the reframing you are teaching: you are the first trusted messenger they meet.</w:t>
      </w:r>
    </w:p>
    <w:p>
      <w:pPr>
        <w:pStyle w:val="Normal"/>
        <w:spacing w:lineRule="exact" w:line="258" w:before="0" w:after="60"/>
        <w:rPr/>
      </w:pPr>
      <w:r>
        <w:rPr>
          <w:rFonts w:eastAsia="Calibri" w:cs="Calibri"/>
          <w:b/>
          <w:bCs/>
          <w:color w:val="222B42"/>
          <w:sz w:val="21"/>
          <w:szCs w:val="21"/>
        </w:rPr>
        <w:t xml:space="preserve">Replace, don’t just remove.  </w:t>
      </w:r>
      <w:r>
        <w:rPr>
          <w:rFonts w:eastAsia="Calibri" w:cs="Calibri"/>
          <w:color w:val="2C3340"/>
          <w:sz w:val="21"/>
          <w:szCs w:val="21"/>
        </w:rPr>
        <w:t>It is not enough to say a belief is wrong. Every time you retire a line (“marry by 20”), you must hand the room a new line to carry in its place.</w:t>
      </w:r>
    </w:p>
    <w:p>
      <w:pPr>
        <w:pStyle w:val="Normal"/>
        <w:spacing w:lineRule="exact" w:line="258" w:before="0" w:after="60"/>
        <w:rPr/>
      </w:pPr>
      <w:r>
        <w:rPr>
          <w:rFonts w:eastAsia="Calibri" w:cs="Calibri"/>
          <w:b/>
          <w:bCs/>
          <w:color w:val="222B42"/>
          <w:sz w:val="21"/>
          <w:szCs w:val="21"/>
        </w:rPr>
        <w:t xml:space="preserve">Make it safe to be uncertain.  </w:t>
      </w:r>
      <w:r>
        <w:rPr>
          <w:rFonts w:eastAsia="Calibri" w:cs="Calibri"/>
          <w:color w:val="2C3340"/>
          <w:sz w:val="21"/>
          <w:szCs w:val="21"/>
        </w:rPr>
        <w:t>Participants carry real fear and real faith. Invite questions without a “right answer” performance; the tools are there to think with, not to test people.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The session shape — one rhythm, every module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Every module in the guide is built to be run the same way. Learn this five-beat rhythm once and you can facilitate any module — and teach others to.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[2]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2433"/>
        <w:gridCol w:w="5710"/>
        <w:gridCol w:w="1217"/>
      </w:tblGrid>
      <w:tr>
        <w:trPr>
          <w:tblHeader w:val="true"/>
        </w:trPr>
        <w:tc>
          <w:tcPr>
            <w:tcW w:w="2433" w:type="dxa"/>
            <w:tcBorders>
              <w:top w:val="single" w:sz="2" w:space="0" w:color="EDF3EF"/>
              <w:left w:val="single" w:sz="28" w:space="0" w:color="2E6B4F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Beat</w:t>
            </w:r>
          </w:p>
        </w:tc>
        <w:tc>
          <w:tcPr>
            <w:tcW w:w="5710" w:type="dxa"/>
            <w:tcBorders>
              <w:top w:val="single" w:sz="2" w:space="0" w:color="EDF3EF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What you do</w:t>
            </w:r>
          </w:p>
        </w:tc>
        <w:tc>
          <w:tcPr>
            <w:tcW w:w="1217" w:type="dxa"/>
            <w:tcBorders>
              <w:top w:val="single" w:sz="2" w:space="0" w:color="EDF3EF"/>
              <w:right w:val="single" w:sz="2" w:space="0" w:color="EDF3EF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Roughly</w:t>
            </w:r>
          </w:p>
        </w:tc>
      </w:tr>
      <w:tr>
        <w:trPr/>
        <w:tc>
          <w:tcPr>
            <w:tcW w:w="2433" w:type="dxa"/>
            <w:tcBorders>
              <w:left w:val="single" w:sz="28" w:space="0" w:color="2E6B4F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1 · Arrive on the scene</w:t>
            </w:r>
          </w:p>
        </w:tc>
        <w:tc>
          <w:tcPr>
            <w:tcW w:w="5710" w:type="dxa"/>
            <w:tcBorders/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Read the module’s opening scene aloud, or play the character clip. Ask: “Who recognises this?”</w:t>
            </w:r>
          </w:p>
        </w:tc>
        <w:tc>
          <w:tcPr>
            <w:tcW w:w="1217" w:type="dxa"/>
            <w:tcBorders>
              <w:right w:val="single" w:sz="2" w:space="0" w:color="EDF3EF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5 min</w:t>
            </w:r>
          </w:p>
        </w:tc>
      </w:tr>
      <w:tr>
        <w:trPr/>
        <w:tc>
          <w:tcPr>
            <w:tcW w:w="2433" w:type="dxa"/>
            <w:tcBorders>
              <w:left w:val="single" w:sz="28" w:space="0" w:color="2E6B4F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2 · Surface the idea</w:t>
            </w:r>
          </w:p>
        </w:tc>
        <w:tc>
          <w:tcPr>
            <w:tcW w:w="5710" w:type="dxa"/>
            <w:tcBorders/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Draw out the one core idea from the room before you name it. Then show the evidence — two or three figures, no more.</w:t>
            </w:r>
          </w:p>
        </w:tc>
        <w:tc>
          <w:tcPr>
            <w:tcW w:w="1217" w:type="dxa"/>
            <w:tcBorders>
              <w:right w:val="single" w:sz="2" w:space="0" w:color="EDF3EF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10 min</w:t>
            </w:r>
          </w:p>
        </w:tc>
      </w:tr>
      <w:tr>
        <w:trPr/>
        <w:tc>
          <w:tcPr>
            <w:tcW w:w="2433" w:type="dxa"/>
            <w:tcBorders>
              <w:left w:val="single" w:sz="28" w:space="0" w:color="2E6B4F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3 · Run the tool</w:t>
            </w:r>
          </w:p>
        </w:tc>
        <w:tc>
          <w:tcPr>
            <w:tcW w:w="5710" w:type="dxa"/>
            <w:tcBorders/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Open the module’s interactive tool. Do it together — tap the four forces, spot the disinformation signals, build a reframe live.</w:t>
            </w:r>
          </w:p>
        </w:tc>
        <w:tc>
          <w:tcPr>
            <w:tcW w:w="1217" w:type="dxa"/>
            <w:tcBorders>
              <w:right w:val="single" w:sz="2" w:space="0" w:color="EDF3EF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15 min</w:t>
            </w:r>
          </w:p>
        </w:tc>
      </w:tr>
      <w:tr>
        <w:trPr/>
        <w:tc>
          <w:tcPr>
            <w:tcW w:w="2433" w:type="dxa"/>
            <w:tcBorders>
              <w:left w:val="single" w:sz="28" w:space="0" w:color="2E6B4F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4 · Practise</w:t>
            </w:r>
          </w:p>
        </w:tc>
        <w:tc>
          <w:tcPr>
            <w:tcW w:w="5710" w:type="dxa"/>
            <w:tcBorders/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Participants apply the tool to their own work or their own family: rewrite a real warning, reframe a real message.</w:t>
            </w:r>
          </w:p>
        </w:tc>
        <w:tc>
          <w:tcPr>
            <w:tcW w:w="1217" w:type="dxa"/>
            <w:tcBorders>
              <w:right w:val="single" w:sz="2" w:space="0" w:color="EDF3EF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15 min</w:t>
            </w:r>
          </w:p>
        </w:tc>
      </w:tr>
      <w:tr>
        <w:trPr/>
        <w:tc>
          <w:tcPr>
            <w:tcW w:w="2433" w:type="dxa"/>
            <w:tcBorders>
              <w:left w:val="single" w:sz="28" w:space="0" w:color="2E6B4F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5 · Commit</w:t>
            </w:r>
          </w:p>
        </w:tc>
        <w:tc>
          <w:tcPr>
            <w:tcW w:w="5710" w:type="dxa"/>
            <w:tcBorders/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Each person names one thing they will do differently. Capture it. This is what turns a session into a habit.</w:t>
            </w:r>
          </w:p>
        </w:tc>
        <w:tc>
          <w:tcPr>
            <w:tcW w:w="1217" w:type="dxa"/>
            <w:tcBorders>
              <w:right w:val="single" w:sz="2" w:space="0" w:color="EDF3EF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5 min</w:t>
            </w:r>
          </w:p>
        </w:tc>
      </w:tr>
      <w:tr>
        <w:trPr/>
        <w:tc>
          <w:tcPr>
            <w:tcW w:w="9360" w:type="dxa"/>
            <w:gridSpan w:val="3"/>
            <w:tcBorders>
              <w:left w:val="single" w:sz="28" w:space="0" w:color="2E6B4F"/>
              <w:bottom w:val="single" w:sz="2" w:space="0" w:color="EDF3EF"/>
              <w:right w:val="single" w:sz="2" w:space="0" w:color="EDF3EF"/>
            </w:tcBorders>
            <w:shd w:fill="EDF3EF" w:val="clear"/>
            <w:tcMar>
              <w:top w:w="140" w:type="dxa"/>
              <w:left w:w="220" w:type="dxa"/>
              <w:bottom w:w="140" w:type="dxa"/>
              <w:right w:w="20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2E6B4F"/>
                <w:spacing w:val="36"/>
                <w:sz w:val="15"/>
                <w:szCs w:val="15"/>
              </w:rPr>
              <w:t>FOR YOUR PRACTICE</w:t>
            </w:r>
            <w:r>
              <w:rPr>
                <w:rFonts w:eastAsia="Calibri" w:cs="Calibri"/>
                <w:b/>
                <w:bCs/>
                <w:color w:val="2E6B4F"/>
                <w:sz w:val="19"/>
                <w:szCs w:val="19"/>
              </w:rPr>
              <w:t xml:space="preserve">   ·   Your facilitator kit for every session</w:t>
            </w:r>
          </w:p>
          <w:p>
            <w:pPr>
              <w:pStyle w:val="Normal"/>
              <w:spacing w:lineRule="exact" w:line="262" w:before="0" w:after="58"/>
              <w:rPr/>
            </w:pPr>
            <w:r>
              <w:rPr>
                <w:rFonts w:eastAsia="Calibri" w:cs="Calibri"/>
                <w:b/>
                <w:bCs/>
                <w:color w:val="2E6B4F"/>
                <w:sz w:val="20"/>
                <w:szCs w:val="20"/>
              </w:rPr>
              <w:t xml:space="preserve">→  </w:t>
            </w:r>
            <w:r>
              <w:rPr>
                <w:rFonts w:eastAsia="Calibri" w:cs="Calibri"/>
                <w:color w:val="2C3340"/>
                <w:sz w:val="20"/>
                <w:szCs w:val="20"/>
              </w:rPr>
              <w:t>The Field Guide open on the module (app) or its printed job-aid.</w:t>
            </w:r>
          </w:p>
          <w:p>
            <w:pPr>
              <w:pStyle w:val="Normal"/>
              <w:spacing w:lineRule="exact" w:line="262" w:before="0" w:after="58"/>
              <w:rPr/>
            </w:pPr>
            <w:r>
              <w:rPr>
                <w:rFonts w:eastAsia="Calibri" w:cs="Calibri"/>
                <w:b/>
                <w:bCs/>
                <w:color w:val="2E6B4F"/>
                <w:sz w:val="20"/>
                <w:szCs w:val="20"/>
              </w:rPr>
              <w:t xml:space="preserve">→  </w:t>
            </w:r>
            <w:r>
              <w:rPr>
                <w:rFonts w:eastAsia="Calibri" w:cs="Calibri"/>
                <w:color w:val="2C3340"/>
                <w:sz w:val="20"/>
                <w:szCs w:val="20"/>
              </w:rPr>
              <w:t>A way to capture commitments — a flip chart, a shared note, or the WhatsApp group.</w:t>
            </w:r>
          </w:p>
          <w:p>
            <w:pPr>
              <w:pStyle w:val="Normal"/>
              <w:spacing w:lineRule="exact" w:line="262" w:before="0" w:after="58"/>
              <w:rPr/>
            </w:pPr>
            <w:r>
              <w:rPr>
                <w:rFonts w:eastAsia="Calibri" w:cs="Calibri"/>
                <w:b/>
                <w:bCs/>
                <w:color w:val="2E6B4F"/>
                <w:sz w:val="20"/>
                <w:szCs w:val="20"/>
              </w:rPr>
              <w:t xml:space="preserve">→  </w:t>
            </w:r>
            <w:r>
              <w:rPr>
                <w:rFonts w:eastAsia="Calibri" w:cs="Calibri"/>
                <w:color w:val="2C3340"/>
                <w:sz w:val="20"/>
                <w:szCs w:val="20"/>
              </w:rPr>
              <w:t>The character cast in view, so the room keeps meeting the same faces.</w:t>
            </w:r>
          </w:p>
          <w:p>
            <w:pPr>
              <w:pStyle w:val="Normal"/>
              <w:spacing w:lineRule="exact" w:line="262" w:before="0" w:after="0"/>
              <w:rPr/>
            </w:pPr>
            <w:r>
              <w:rPr>
                <w:rFonts w:eastAsia="Calibri" w:cs="Calibri"/>
                <w:b/>
                <w:bCs/>
                <w:color w:val="2E6B4F"/>
                <w:sz w:val="20"/>
                <w:szCs w:val="20"/>
              </w:rPr>
              <w:t xml:space="preserve">→  </w:t>
            </w:r>
            <w:r>
              <w:rPr>
                <w:rFonts w:eastAsia="Calibri" w:cs="Calibri"/>
                <w:color w:val="2C3340"/>
                <w:sz w:val="20"/>
                <w:szCs w:val="20"/>
              </w:rPr>
              <w:t>One real example from the participants’ own context, ready to reframe.</w:t>
            </w:r>
          </w:p>
        </w:tc>
      </w:tr>
    </w:tbl>
    <w:p>
      <w:pPr>
        <w:pStyle w:val="Normal"/>
        <w:spacing w:before="0" w:after="150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color w:val="C6A15B"/>
          <w:spacing w:val="30"/>
          <w:sz w:val="16"/>
          <w:szCs w:val="16"/>
        </w:rPr>
        <w:t>THE CASCADE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Running a Training of Trainers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The Field Guide is designed to cascade: master trainers train facilitators, who run sessions in their own organisations and communities. A training of trainers (ToT) does two things at once — it teaches the content, and it teaches the facilitation. Everything you model, they will copy.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[2]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The cascade, in three tiers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1900"/>
        <w:gridCol w:w="3559"/>
        <w:gridCol w:w="3901"/>
      </w:tblGrid>
      <w:tr>
        <w:trPr>
          <w:tblHeader w:val="true"/>
        </w:trPr>
        <w:tc>
          <w:tcPr>
            <w:tcW w:w="19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Tier</w:t>
            </w:r>
          </w:p>
        </w:tc>
        <w:tc>
          <w:tcPr>
            <w:tcW w:w="35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Who</w:t>
            </w:r>
          </w:p>
        </w:tc>
        <w:tc>
          <w:tcPr>
            <w:tcW w:w="39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What they can do after</w:t>
            </w:r>
          </w:p>
        </w:tc>
      </w:tr>
      <w:tr>
        <w:trPr/>
        <w:tc>
          <w:tcPr>
            <w:tcW w:w="19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Master trainer</w:t>
            </w:r>
          </w:p>
        </w:tc>
        <w:tc>
          <w:tcPr>
            <w:tcW w:w="35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Runs the ToT (this manual’s reader).</w:t>
            </w:r>
          </w:p>
        </w:tc>
        <w:tc>
          <w:tcPr>
            <w:tcW w:w="39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Certify facilitators; adapt sessions; hold quality.</w:t>
            </w:r>
          </w:p>
        </w:tc>
      </w:tr>
      <w:tr>
        <w:trPr/>
        <w:tc>
          <w:tcPr>
            <w:tcW w:w="19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Facilitator</w:t>
            </w:r>
          </w:p>
        </w:tc>
        <w:tc>
          <w:tcPr>
            <w:tcW w:w="35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Org staff, mobilisers, peer educators.</w:t>
            </w:r>
          </w:p>
        </w:tc>
        <w:tc>
          <w:tcPr>
            <w:tcW w:w="39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Run any module with a group; recruit champion aunties.</w:t>
            </w:r>
          </w:p>
        </w:tc>
      </w:tr>
      <w:tr>
        <w:trPr/>
        <w:tc>
          <w:tcPr>
            <w:tcW w:w="19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Champion / peer</w:t>
            </w:r>
          </w:p>
        </w:tc>
        <w:tc>
          <w:tcPr>
            <w:tcW w:w="35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Aunties, youth creators, faith allies, survivors.</w:t>
            </w:r>
          </w:p>
        </w:tc>
        <w:tc>
          <w:tcPr>
            <w:tcW w:w="390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Carry re-scripted messages through their own trusted channels.</w:t>
            </w:r>
          </w:p>
        </w:tc>
      </w:tr>
    </w:tbl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A two-day ToT agenda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Two days is enough to take a new facilitator from meeting the family to running a module unsupervised. Keep groups small (12–16), keep devices in the room, and make every participant facilitate at least once.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[2]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1500"/>
        <w:gridCol w:w="5759"/>
        <w:gridCol w:w="2101"/>
      </w:tblGrid>
      <w:tr>
        <w:trPr>
          <w:tblHeader w:val="true"/>
        </w:trPr>
        <w:tc>
          <w:tcPr>
            <w:tcW w:w="1500" w:type="dxa"/>
            <w:tcBorders>
              <w:top w:val="single" w:sz="2" w:space="0" w:color="EDF3EF"/>
              <w:left w:val="single" w:sz="28" w:space="0" w:color="2E6B4F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When</w:t>
            </w:r>
          </w:p>
        </w:tc>
        <w:tc>
          <w:tcPr>
            <w:tcW w:w="5759" w:type="dxa"/>
            <w:tcBorders>
              <w:top w:val="single" w:sz="2" w:space="0" w:color="EDF3EF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Session</w:t>
            </w:r>
          </w:p>
        </w:tc>
        <w:tc>
          <w:tcPr>
            <w:tcW w:w="2101" w:type="dxa"/>
            <w:tcBorders>
              <w:top w:val="single" w:sz="2" w:space="0" w:color="EDF3EF"/>
              <w:right w:val="single" w:sz="2" w:space="0" w:color="EDF3EF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Goal</w:t>
            </w:r>
          </w:p>
        </w:tc>
      </w:tr>
      <w:tr>
        <w:trPr/>
        <w:tc>
          <w:tcPr>
            <w:tcW w:w="1500" w:type="dxa"/>
            <w:tcBorders>
              <w:left w:val="single" w:sz="28" w:space="0" w:color="2E6B4F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Day 1 · AM</w:t>
            </w:r>
          </w:p>
        </w:tc>
        <w:tc>
          <w:tcPr>
            <w:tcW w:w="5759" w:type="dxa"/>
            <w:tcBorders/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Meet the family; the two-track guide; the five principles; the session rhythm.</w:t>
            </w:r>
          </w:p>
        </w:tc>
        <w:tc>
          <w:tcPr>
            <w:tcW w:w="2101" w:type="dxa"/>
            <w:tcBorders>
              <w:right w:val="single" w:sz="2" w:space="0" w:color="EDF3EF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They can name the stance and the shape.</w:t>
            </w:r>
          </w:p>
        </w:tc>
      </w:tr>
      <w:tr>
        <w:trPr/>
        <w:tc>
          <w:tcPr>
            <w:tcW w:w="1500" w:type="dxa"/>
            <w:tcBorders>
              <w:left w:val="single" w:sz="28" w:space="0" w:color="2E6B4F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Day 1 · PM</w:t>
            </w:r>
          </w:p>
        </w:tc>
        <w:tc>
          <w:tcPr>
            <w:tcW w:w="5759" w:type="dxa"/>
            <w:tcBorders/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Modules 1–3 run in full, master-trainer led; participants take notes as facilitators, not students.</w:t>
            </w:r>
          </w:p>
        </w:tc>
        <w:tc>
          <w:tcPr>
            <w:tcW w:w="2101" w:type="dxa"/>
            <w:tcBorders>
              <w:right w:val="single" w:sz="2" w:space="0" w:color="EDF3EF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They have seen the rhythm three times.</w:t>
            </w:r>
          </w:p>
        </w:tc>
      </w:tr>
      <w:tr>
        <w:trPr/>
        <w:tc>
          <w:tcPr>
            <w:tcW w:w="1500" w:type="dxa"/>
            <w:tcBorders>
              <w:left w:val="single" w:sz="28" w:space="0" w:color="2E6B4F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Day 2 · AM</w:t>
            </w:r>
          </w:p>
        </w:tc>
        <w:tc>
          <w:tcPr>
            <w:tcW w:w="5759" w:type="dxa"/>
            <w:tcBorders/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Modules 4–6 and the Mother &amp; Aunty frontier; participants co-facilitate in pairs.</w:t>
            </w:r>
          </w:p>
        </w:tc>
        <w:tc>
          <w:tcPr>
            <w:tcW w:w="2101" w:type="dxa"/>
            <w:tcBorders>
              <w:right w:val="single" w:sz="2" w:space="0" w:color="EDF3EF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They have facilitated with support.</w:t>
            </w:r>
          </w:p>
        </w:tc>
      </w:tr>
      <w:tr>
        <w:trPr/>
        <w:tc>
          <w:tcPr>
            <w:tcW w:w="1500" w:type="dxa"/>
            <w:tcBorders>
              <w:left w:val="single" w:sz="28" w:space="0" w:color="2E6B4F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Day 2 · PM</w:t>
            </w:r>
          </w:p>
        </w:tc>
        <w:tc>
          <w:tcPr>
            <w:tcW w:w="5759" w:type="dxa"/>
            <w:tcBorders/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The Mother &amp; Aunty curriculum; each participant runs one module solo (micro-teach); feedback; commitments &amp; certification.</w:t>
            </w:r>
          </w:p>
        </w:tc>
        <w:tc>
          <w:tcPr>
            <w:tcW w:w="2101" w:type="dxa"/>
            <w:tcBorders>
              <w:right w:val="single" w:sz="2" w:space="0" w:color="EDF3EF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They can run a module alone.</w:t>
            </w:r>
          </w:p>
        </w:tc>
      </w:tr>
      <w:tr>
        <w:trPr/>
        <w:tc>
          <w:tcPr>
            <w:tcW w:w="9360" w:type="dxa"/>
            <w:gridSpan w:val="3"/>
            <w:tcBorders>
              <w:left w:val="single" w:sz="28" w:space="0" w:color="2E6B4F"/>
              <w:bottom w:val="single" w:sz="2" w:space="0" w:color="EDF3EF"/>
              <w:right w:val="single" w:sz="2" w:space="0" w:color="EDF3EF"/>
            </w:tcBorders>
            <w:shd w:fill="EDF3EF" w:val="clear"/>
            <w:tcMar>
              <w:top w:w="140" w:type="dxa"/>
              <w:left w:w="220" w:type="dxa"/>
              <w:bottom w:w="140" w:type="dxa"/>
              <w:right w:w="200" w:type="dxa"/>
            </w:tcMar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2E6B4F"/>
                <w:spacing w:val="36"/>
                <w:sz w:val="15"/>
                <w:szCs w:val="15"/>
              </w:rPr>
              <w:t>FOR YOUR PRACTICE</w:t>
            </w:r>
            <w:r>
              <w:rPr>
                <w:rFonts w:eastAsia="Calibri" w:cs="Calibri"/>
                <w:b/>
                <w:bCs/>
                <w:color w:val="2E6B4F"/>
                <w:sz w:val="19"/>
                <w:szCs w:val="19"/>
              </w:rPr>
              <w:t xml:space="preserve">   ·   The micro-teach — the heart of the ToT</w:t>
            </w:r>
          </w:p>
          <w:p>
            <w:pPr>
              <w:pStyle w:val="Normal"/>
              <w:spacing w:lineRule="exact" w:line="262" w:before="0" w:after="58"/>
              <w:rPr/>
            </w:pPr>
            <w:r>
              <w:rPr>
                <w:rFonts w:eastAsia="Calibri" w:cs="Calibri"/>
                <w:b/>
                <w:bCs/>
                <w:color w:val="2E6B4F"/>
                <w:sz w:val="20"/>
                <w:szCs w:val="20"/>
              </w:rPr>
              <w:t xml:space="preserve">→  </w:t>
            </w:r>
            <w:r>
              <w:rPr>
                <w:rFonts w:eastAsia="Calibri" w:cs="Calibri"/>
                <w:color w:val="2C3340"/>
                <w:sz w:val="20"/>
                <w:szCs w:val="20"/>
              </w:rPr>
              <w:t>Give each participant one module and 20 minutes to run its five beats with the group.</w:t>
            </w:r>
          </w:p>
          <w:p>
            <w:pPr>
              <w:pStyle w:val="Normal"/>
              <w:spacing w:lineRule="exact" w:line="262" w:before="0" w:after="58"/>
              <w:rPr/>
            </w:pPr>
            <w:r>
              <w:rPr>
                <w:rFonts w:eastAsia="Calibri" w:cs="Calibri"/>
                <w:b/>
                <w:bCs/>
                <w:color w:val="2E6B4F"/>
                <w:sz w:val="20"/>
                <w:szCs w:val="20"/>
              </w:rPr>
              <w:t xml:space="preserve">→  </w:t>
            </w:r>
            <w:r>
              <w:rPr>
                <w:rFonts w:eastAsia="Calibri" w:cs="Calibri"/>
                <w:color w:val="2C3340"/>
                <w:sz w:val="20"/>
                <w:szCs w:val="20"/>
              </w:rPr>
              <w:t>Observe against the five principles, not against content recall.</w:t>
            </w:r>
          </w:p>
          <w:p>
            <w:pPr>
              <w:pStyle w:val="Normal"/>
              <w:spacing w:lineRule="exact" w:line="262" w:before="0" w:after="58"/>
              <w:rPr/>
            </w:pPr>
            <w:r>
              <w:rPr>
                <w:rFonts w:eastAsia="Calibri" w:cs="Calibri"/>
                <w:b/>
                <w:bCs/>
                <w:color w:val="2E6B4F"/>
                <w:sz w:val="20"/>
                <w:szCs w:val="20"/>
              </w:rPr>
              <w:t xml:space="preserve">→  </w:t>
            </w:r>
            <w:r>
              <w:rPr>
                <w:rFonts w:eastAsia="Calibri" w:cs="Calibri"/>
                <w:color w:val="2C3340"/>
                <w:sz w:val="20"/>
                <w:szCs w:val="20"/>
              </w:rPr>
              <w:t>Feedback names one strength and one specific adjustment — modelled kindly, exactly as you want them to treat participants.</w:t>
            </w:r>
          </w:p>
          <w:p>
            <w:pPr>
              <w:pStyle w:val="Normal"/>
              <w:spacing w:lineRule="exact" w:line="262" w:before="0" w:after="0"/>
              <w:rPr/>
            </w:pPr>
            <w:r>
              <w:rPr>
                <w:rFonts w:eastAsia="Calibri" w:cs="Calibri"/>
                <w:b/>
                <w:bCs/>
                <w:color w:val="2E6B4F"/>
                <w:sz w:val="20"/>
                <w:szCs w:val="20"/>
              </w:rPr>
              <w:t xml:space="preserve">→  </w:t>
            </w:r>
            <w:r>
              <w:rPr>
                <w:rFonts w:eastAsia="Calibri" w:cs="Calibri"/>
                <w:color w:val="2C3340"/>
                <w:sz w:val="20"/>
                <w:szCs w:val="20"/>
              </w:rPr>
              <w:t>Certify a facilitator when they can open on a scene, run the tool, and close on a commitment — without shaming anyone.</w:t>
            </w:r>
          </w:p>
        </w:tc>
      </w:tr>
    </w:tbl>
    <w:p>
      <w:pPr>
        <w:pStyle w:val="Normal"/>
        <w:spacing w:before="0" w:after="150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color w:val="C6A15B"/>
          <w:spacing w:val="30"/>
          <w:sz w:val="16"/>
          <w:szCs w:val="16"/>
        </w:rPr>
        <w:t>AT THE FLIP-CHART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Facilitation notes, module by module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For each module: the scene to open on, the point to reach, how to run the tool with and without devices, and the pitfall to avoid. These are prompts, not scripts — the words should be yours.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[2]</w:t>
      </w:r>
    </w:p>
    <w:p>
      <w:pPr>
        <w:pStyle w:val="Heading3"/>
        <w:keepNext w:val="true"/>
        <w:spacing w:before="180" w:after="70"/>
        <w:rPr/>
      </w:pPr>
      <w:r>
        <w:rPr>
          <w:rFonts w:eastAsia="Calibri" w:cs="Calibri" w:ascii="Calibri" w:hAnsi="Calibri"/>
          <w:b/>
          <w:bCs/>
          <w:color w:val="A8863F"/>
          <w:sz w:val="22"/>
          <w:szCs w:val="22"/>
        </w:rPr>
        <w:t>1 · The System — one girl, four forces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222B42"/>
          <w:sz w:val="21"/>
          <w:szCs w:val="21"/>
        </w:rPr>
        <w:t xml:space="preserve">Open on: </w:t>
      </w:r>
      <w:r>
        <w:rPr>
          <w:rFonts w:eastAsia="Calibri" w:cs="Calibri"/>
          <w:b w:val="false"/>
          <w:bCs w:val="false"/>
          <w:i/>
          <w:iCs/>
          <w:color w:val="2C3340"/>
          <w:sz w:val="21"/>
          <w:szCs w:val="21"/>
        </w:rPr>
        <w:t>Agneta pressed at once by her father, the pulpit, a WhatsApp forward and a backlash.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222B42"/>
          <w:sz w:val="21"/>
          <w:szCs w:val="21"/>
        </w:rPr>
        <w:t xml:space="preserve">The point: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The barrier is one machine — patriarchy, culture, religion and disinformation turn together, so single-dimension campaigns slip.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2E6B4F"/>
          <w:sz w:val="21"/>
          <w:szCs w:val="21"/>
        </w:rPr>
        <w:t xml:space="preserve">With devices: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Run “Map the Machine”: tap each of the four forces and read how it presses on Agneta.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A8863F"/>
          <w:sz w:val="21"/>
          <w:szCs w:val="21"/>
        </w:rPr>
        <w:t xml:space="preserve">Without devices: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Draw Agneta at the centre of a flip chart; write the four forces around her; ask the room to fill in how each one works.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A85A32"/>
          <w:sz w:val="21"/>
          <w:szCs w:val="21"/>
        </w:rPr>
        <w:t xml:space="preserve">Pitfall: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Don’t let it become four separate problems — keep returning to how they reinforce each other.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spacing w:before="180" w:after="70"/>
        <w:rPr/>
      </w:pPr>
      <w:r>
        <w:rPr>
          <w:rFonts w:eastAsia="Calibri" w:cs="Calibri" w:ascii="Calibri" w:hAnsi="Calibri"/>
          <w:b/>
          <w:bCs/>
          <w:color w:val="A8863F"/>
          <w:sz w:val="22"/>
          <w:szCs w:val="22"/>
        </w:rPr>
        <w:t>2 · Disinformation — the tilted environment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222B42"/>
          <w:sz w:val="21"/>
          <w:szCs w:val="21"/>
        </w:rPr>
        <w:t xml:space="preserve">Open on: </w:t>
      </w:r>
      <w:r>
        <w:rPr>
          <w:rFonts w:eastAsia="Calibri" w:cs="Calibri"/>
          <w:b w:val="false"/>
          <w:bCs w:val="false"/>
          <w:i/>
          <w:iCs/>
          <w:color w:val="2C3340"/>
          <w:sz w:val="21"/>
          <w:szCs w:val="21"/>
        </w:rPr>
        <w:t>The family WhatsApp group lights up with “family planning causes cancer — share before it’s deleted.”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222B42"/>
          <w:sz w:val="21"/>
          <w:szCs w:val="21"/>
        </w:rPr>
        <w:t xml:space="preserve">The point: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You cannot fact-check your way out; the skill is prebunking — naming the manipulation signals before the next forward.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2E6B4F"/>
          <w:sz w:val="21"/>
          <w:szCs w:val="21"/>
        </w:rPr>
        <w:t xml:space="preserve">With devices: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Run “Spot the tell-tale signs”: the room taps the four signals in a real-shape forward.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A8863F"/>
          <w:sz w:val="21"/>
          <w:szCs w:val="21"/>
        </w:rPr>
        <w:t xml:space="preserve">Without devices: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Print the forward; hand out four cards (anonymous source, fake authority, fear hook, false urgency); ask which words match which card.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A85A32"/>
          <w:sz w:val="21"/>
          <w:szCs w:val="21"/>
        </w:rPr>
        <w:t xml:space="preserve">Pitfall: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Don’t debate whether the myth is true — that spreads it. Name the trick, not the claim.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spacing w:before="180" w:after="70"/>
        <w:rPr/>
      </w:pPr>
      <w:r>
        <w:rPr>
          <w:rFonts w:eastAsia="Calibri" w:cs="Calibri" w:ascii="Calibri" w:hAnsi="Calibri"/>
          <w:b/>
          <w:bCs/>
          <w:color w:val="A8863F"/>
          <w:sz w:val="22"/>
          <w:szCs w:val="22"/>
        </w:rPr>
        <w:t>3 · Culture &amp; Patriarchy — the cost of a choice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222B42"/>
          <w:sz w:val="21"/>
          <w:szCs w:val="21"/>
        </w:rPr>
        <w:t xml:space="preserve">Open on: </w:t>
      </w:r>
      <w:r>
        <w:rPr>
          <w:rFonts w:eastAsia="Calibri" w:cs="Calibri"/>
          <w:b w:val="false"/>
          <w:bCs w:val="false"/>
          <w:i/>
          <w:iCs/>
          <w:color w:val="2C3340"/>
          <w:sz w:val="21"/>
          <w:szCs w:val="21"/>
        </w:rPr>
        <w:t>Tom finds Grace’s hidden pills; the cost of a woman’s choice becomes visible, and high.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222B42"/>
          <w:sz w:val="21"/>
          <w:szCs w:val="21"/>
        </w:rPr>
        <w:t xml:space="preserve">The point: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Shaming men rarely lowers the cost; what shifts things is reducing the cost of her decision — quieter, safer, socially backed.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2E6B4F"/>
          <w:sz w:val="21"/>
          <w:szCs w:val="21"/>
        </w:rPr>
        <w:t xml:space="preserve">With devices: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Run “Cost her decision”: switch on supports and watch the cost fall.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A8863F"/>
          <w:sz w:val="21"/>
          <w:szCs w:val="21"/>
        </w:rPr>
        <w:t xml:space="preserve">Without devices: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List Grace’s supports on cards; add them one by one and ask the room, “Is it easier for her to choose now?”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A85A32"/>
          <w:sz w:val="21"/>
          <w:szCs w:val="21"/>
        </w:rPr>
        <w:t xml:space="preserve">Pitfall: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Don’t turn the men in the room into the enemy — frame as provision and shared decisions.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spacing w:before="180" w:after="70"/>
        <w:rPr/>
      </w:pPr>
      <w:r>
        <w:rPr>
          <w:rFonts w:eastAsia="Calibri" w:cs="Calibri" w:ascii="Calibri" w:hAnsi="Calibri"/>
          <w:b/>
          <w:bCs/>
          <w:color w:val="A8863F"/>
          <w:sz w:val="22"/>
          <w:szCs w:val="22"/>
        </w:rPr>
        <w:t>4 · Reframing — the frame beats the fact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222B42"/>
          <w:sz w:val="21"/>
          <w:szCs w:val="21"/>
        </w:rPr>
        <w:t xml:space="preserve">Open on: </w:t>
      </w:r>
      <w:r>
        <w:rPr>
          <w:rFonts w:eastAsia="Calibri" w:cs="Calibri"/>
          <w:b w:val="false"/>
          <w:bCs w:val="false"/>
          <w:i/>
          <w:iCs/>
          <w:color w:val="2C3340"/>
          <w:sz w:val="21"/>
          <w:szCs w:val="21"/>
        </w:rPr>
        <w:t>The same facts rebuilt to reach Tom (provision) and Beth (protecting Agneta), voiced by the nurse they trust.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222B42"/>
          <w:sz w:val="21"/>
          <w:szCs w:val="21"/>
        </w:rPr>
        <w:t xml:space="preserve">The point: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Lead with a held value and arrive at rights: health is the entry point, rights the destination.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2E6B4F"/>
          <w:sz w:val="21"/>
          <w:szCs w:val="21"/>
        </w:rPr>
        <w:t xml:space="preserve">With devices: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Run “The Reframing Worksheet” live: pick an audience and watch the five-part message build; compare with the sector’s usual line.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A8863F"/>
          <w:sz w:val="21"/>
          <w:szCs w:val="21"/>
        </w:rPr>
        <w:t xml:space="preserve">Without devices: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Use the printed worksheet: five boxes — Value, Bridge, Fact, Messenger, Ask — filled in together on one real message.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A85A32"/>
          <w:sz w:val="21"/>
          <w:szCs w:val="21"/>
        </w:rPr>
        <w:t xml:space="preserve">Pitfall: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Don’t skip the messenger. A perfect reframe in the wrong mouth still fails.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spacing w:before="180" w:after="70"/>
        <w:rPr/>
      </w:pPr>
      <w:r>
        <w:rPr>
          <w:rFonts w:eastAsia="Calibri" w:cs="Calibri" w:ascii="Calibri" w:hAnsi="Calibri"/>
          <w:b/>
          <w:bCs/>
          <w:color w:val="A8863F"/>
          <w:sz w:val="22"/>
          <w:szCs w:val="22"/>
        </w:rPr>
        <w:t>5 · What Works — proof to stand on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222B42"/>
          <w:sz w:val="21"/>
          <w:szCs w:val="21"/>
        </w:rPr>
        <w:t xml:space="preserve">Open on: </w:t>
      </w:r>
      <w:r>
        <w:rPr>
          <w:rFonts w:eastAsia="Calibri" w:cs="Calibri"/>
          <w:b w:val="false"/>
          <w:bCs w:val="false"/>
          <w:i/>
          <w:iCs/>
          <w:color w:val="2C3340"/>
          <w:sz w:val="21"/>
          <w:szCs w:val="21"/>
        </w:rPr>
        <w:t>The corner that changes things: the nurse’s youth desk, Kevo’s clip, the pastor turned ally, Brenda’s story.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222B42"/>
          <w:sz w:val="21"/>
          <w:szCs w:val="21"/>
        </w:rPr>
        <w:t xml:space="preserve">The point: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Match channel and messenger to the audience honestly — digital reaches youth, radio reaches the unreached, peers carry trust.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2E6B4F"/>
          <w:sz w:val="21"/>
          <w:szCs w:val="21"/>
        </w:rPr>
        <w:t xml:space="preserve">With devices: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Run the “Channel &amp; messenger matrix”: pick an audience, get the evidence-backed pairing.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A8863F"/>
          <w:sz w:val="21"/>
          <w:szCs w:val="21"/>
        </w:rPr>
        <w:t xml:space="preserve">Without devices: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Print the matrix as a grid; have the room place their real audiences and argue the pairings.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A85A32"/>
          <w:sz w:val="21"/>
          <w:szCs w:val="21"/>
        </w:rPr>
        <w:t xml:space="preserve">Pitfall: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Don’t default to “make a video.” Ask who you need to reach before you choose the channel.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spacing w:before="180" w:after="70"/>
        <w:rPr/>
      </w:pPr>
      <w:r>
        <w:rPr>
          <w:rFonts w:eastAsia="Calibri" w:cs="Calibri" w:ascii="Calibri" w:hAnsi="Calibri"/>
          <w:b/>
          <w:bCs/>
          <w:color w:val="A8863F"/>
          <w:sz w:val="22"/>
          <w:szCs w:val="22"/>
        </w:rPr>
        <w:t>6 · The Operating System — five habits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222B42"/>
          <w:sz w:val="21"/>
          <w:szCs w:val="21"/>
        </w:rPr>
        <w:t xml:space="preserve">Open on: </w:t>
      </w:r>
      <w:r>
        <w:rPr>
          <w:rFonts w:eastAsia="Calibri" w:cs="Calibri"/>
          <w:b w:val="false"/>
          <w:bCs w:val="false"/>
          <w:i/>
          <w:iCs/>
          <w:color w:val="2C3340"/>
          <w:sz w:val="21"/>
          <w:szCs w:val="21"/>
        </w:rPr>
        <w:t>The guide only works if it becomes routine — five weekly habits, not a document in a drawer.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222B42"/>
          <w:sz w:val="21"/>
          <w:szCs w:val="21"/>
        </w:rPr>
        <w:t xml:space="preserve">The point: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Turn the toolkit into standing practice: listening rota, message library, messenger map, a 30-second framing check, a monthly review.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2E6B4F"/>
          <w:sz w:val="21"/>
          <w:szCs w:val="21"/>
        </w:rPr>
        <w:t xml:space="preserve">With devices: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Run “The Five Habits” self-assessment: each team checks what it already does.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A8863F"/>
          <w:sz w:val="21"/>
          <w:szCs w:val="21"/>
        </w:rPr>
        <w:t xml:space="preserve">Without devices: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Print the five habits as a wall poster; the team marks its baseline and picks the next one to adopt.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A85A32"/>
          <w:sz w:val="21"/>
          <w:szCs w:val="21"/>
        </w:rPr>
        <w:t xml:space="preserve">Pitfall: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Don’t leave it abstract — assign an owner to each habit before the session ends.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spacing w:before="180" w:after="70"/>
        <w:rPr/>
      </w:pPr>
      <w:r>
        <w:rPr>
          <w:rFonts w:eastAsia="Calibri" w:cs="Calibri" w:ascii="Calibri" w:hAnsi="Calibri"/>
          <w:b/>
          <w:bCs/>
          <w:color w:val="A8863F"/>
          <w:sz w:val="22"/>
          <w:szCs w:val="22"/>
        </w:rPr>
        <w:t>7 · Mother &amp; Aunty (Part 1) — the frontier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222B42"/>
          <w:sz w:val="21"/>
          <w:szCs w:val="21"/>
        </w:rPr>
        <w:t xml:space="preserve">Open on: </w:t>
      </w:r>
      <w:r>
        <w:rPr>
          <w:rFonts w:eastAsia="Calibri" w:cs="Calibri"/>
          <w:b w:val="false"/>
          <w:bCs w:val="false"/>
          <w:i/>
          <w:iCs/>
          <w:color w:val="2C3340"/>
          <w:sz w:val="21"/>
          <w:szCs w:val="21"/>
        </w:rPr>
        <w:t>In the kitchen, Agneta confides her fear to Beth, who answers with love and “marry by 20.”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222B42"/>
          <w:sz w:val="21"/>
          <w:szCs w:val="21"/>
        </w:rPr>
        <w:t xml:space="preserve">The point: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Older women are the highest-leverage, least-used point; the most trusted channel carries the most misinformation. The battleground is norms.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2E6B4F"/>
          <w:sz w:val="21"/>
          <w:szCs w:val="21"/>
        </w:rPr>
        <w:t xml:space="preserve">With devices: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Run “Rewrite the warning”: keep Beth’s love, change what she passes on.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A8863F"/>
          <w:sz w:val="21"/>
          <w:szCs w:val="21"/>
        </w:rPr>
        <w:t xml:space="preserve">Without devices: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Two columns on the flip chart — “what Beth says” and “what Beth could say” — fill the second together.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A85A32"/>
          <w:sz w:val="21"/>
          <w:szCs w:val="21"/>
        </w:rPr>
        <w:t xml:space="preserve">Pitfall: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Don’t caricature the aunty. She is the future champion, not the problem.</w:t>
      </w:r>
    </w:p>
    <w:p>
      <w:pPr>
        <w:pStyle w:val="Normal"/>
        <w:spacing w:before="0" w:after="120"/>
        <w:rPr/>
      </w:pPr>
      <w:r>
        <w:rPr/>
      </w:r>
    </w:p>
    <w:p>
      <w:pPr>
        <w:pStyle w:val="Heading3"/>
        <w:keepNext w:val="true"/>
        <w:spacing w:before="180" w:after="70"/>
        <w:rPr/>
      </w:pPr>
      <w:r>
        <w:rPr>
          <w:rFonts w:eastAsia="Calibri" w:cs="Calibri" w:ascii="Calibri" w:hAnsi="Calibri"/>
          <w:b/>
          <w:bCs/>
          <w:color w:val="A8863F"/>
          <w:sz w:val="22"/>
          <w:szCs w:val="22"/>
        </w:rPr>
        <w:t>8 · Mother &amp; Aunty (Part 2) — the curriculum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222B42"/>
          <w:sz w:val="21"/>
          <w:szCs w:val="21"/>
        </w:rPr>
        <w:t xml:space="preserve">Open on: </w:t>
      </w:r>
      <w:r>
        <w:rPr>
          <w:rFonts w:eastAsia="Calibri" w:cs="Calibri"/>
          <w:b w:val="false"/>
          <w:bCs w:val="false"/>
          <w:i/>
          <w:iCs/>
          <w:color w:val="2C3340"/>
          <w:sz w:val="21"/>
          <w:szCs w:val="21"/>
        </w:rPr>
        <w:t>Beth doesn’t need a lecture; she needs a path from certain gatekeeper to the family’s strongest champion.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222B42"/>
          <w:sz w:val="21"/>
          <w:szCs w:val="21"/>
        </w:rPr>
        <w:t xml:space="preserve">The point: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The hands-on curriculum: recruit champion aunties, move them along the gatekeeper→champion pathway, interrupt the transfer respectfully.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2E6B4F"/>
          <w:sz w:val="21"/>
          <w:szCs w:val="21"/>
        </w:rPr>
        <w:t xml:space="preserve">With devices: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Walk the pathway stepper and flip the Myth &amp; Fact cards; use the five-session outline to plan a champion cohort.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A8863F"/>
          <w:sz w:val="21"/>
          <w:szCs w:val="21"/>
        </w:rPr>
        <w:t xml:space="preserve">Without devices: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Print the Champion Aunty card and the Myth &amp; Fact cards; run the five sessions face-to-face over five weeks.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A85A32"/>
          <w:sz w:val="21"/>
          <w:szCs w:val="21"/>
        </w:rPr>
        <w:t xml:space="preserve">Pitfall: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Don’t rush the pathway. Trust is built peer-to-peer, one doubt at a time.</w:t>
      </w:r>
    </w:p>
    <w:p>
      <w:pPr>
        <w:pStyle w:val="Normal"/>
        <w:spacing w:before="0" w:after="120"/>
        <w:rPr/>
      </w:pPr>
      <w:r>
        <w:rPr/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color w:val="C6A15B"/>
          <w:spacing w:val="30"/>
          <w:sz w:val="16"/>
          <w:szCs w:val="16"/>
        </w:rPr>
        <w:t>THE HIGHEST-LEVERAGE ROOM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Cascading the Mother &amp; Aunty curriculum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The Mother &amp; Aunty curriculum is where the guide’s leverage concentrates. As a facilitator you are not delivering facts to older women — you are recruiting and equipping champions who will carry re-scripted messages through channels no campaign can reach: the kitchen, the family WhatsApp group, the gathering, the doorstep.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[1]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The gatekeeper → champion pathway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1699"/>
        <w:gridCol w:w="4061"/>
        <w:gridCol w:w="3600"/>
      </w:tblGrid>
      <w:tr>
        <w:trPr>
          <w:tblHeader w:val="true"/>
        </w:trPr>
        <w:tc>
          <w:tcPr>
            <w:tcW w:w="16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Stage</w:t>
            </w:r>
          </w:p>
        </w:tc>
        <w:tc>
          <w:tcPr>
            <w:tcW w:w="40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Where the aunty is</w:t>
            </w:r>
          </w:p>
        </w:tc>
        <w:tc>
          <w:tcPr>
            <w:tcW w:w="36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4"/>
                <w:szCs w:val="14"/>
              </w:rPr>
              <w:t>What moves her on</w:t>
            </w:r>
          </w:p>
        </w:tc>
      </w:tr>
      <w:tr>
        <w:trPr/>
        <w:tc>
          <w:tcPr>
            <w:tcW w:w="16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0 · Gatekeeper</w:t>
            </w:r>
          </w:p>
        </w:tc>
        <w:tc>
          <w:tcPr>
            <w:tcW w:w="40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Certain and protective; passes the warnings on as settled truth.</w:t>
            </w:r>
          </w:p>
        </w:tc>
        <w:tc>
          <w:tcPr>
            <w:tcW w:w="36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Not a stranger’s facts — a trusted peer’s single doubt.</w:t>
            </w:r>
          </w:p>
        </w:tc>
      </w:tr>
      <w:tr>
        <w:trPr/>
        <w:tc>
          <w:tcPr>
            <w:tcW w:w="16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1 · Unsettle</w:t>
            </w:r>
          </w:p>
        </w:tc>
        <w:tc>
          <w:tcPr>
            <w:tcW w:w="40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One crack: “my niece’s nurse said different.”</w:t>
            </w:r>
          </w:p>
        </w:tc>
        <w:tc>
          <w:tcPr>
            <w:tcW w:w="36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No confrontation; curiosity, not correction.</w:t>
            </w:r>
          </w:p>
        </w:tc>
      </w:tr>
      <w:tr>
        <w:trPr/>
        <w:tc>
          <w:tcPr>
            <w:tcW w:w="16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2 · Try</w:t>
            </w:r>
          </w:p>
        </w:tc>
        <w:tc>
          <w:tcPr>
            <w:tcW w:w="40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Tests one new line quietly; sees a girl respected, not shamed.</w:t>
            </w:r>
          </w:p>
        </w:tc>
        <w:tc>
          <w:tcPr>
            <w:tcW w:w="36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A safe first success she can repeat.</w:t>
            </w:r>
          </w:p>
        </w:tc>
      </w:tr>
      <w:tr>
        <w:trPr/>
        <w:tc>
          <w:tcPr>
            <w:tcW w:w="169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3 · Adopt</w:t>
            </w:r>
          </w:p>
        </w:tc>
        <w:tc>
          <w:tcPr>
            <w:tcW w:w="4061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Changes her own advice; walks a girl to the clinic.</w:t>
            </w:r>
          </w:p>
        </w:tc>
        <w:tc>
          <w:tcPr>
            <w:tcW w:w="36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4"/>
                <w:szCs w:val="14"/>
              </w:rPr>
              <w:t>Recognition as a champion; the field cards in her hand.</w:t>
            </w:r>
          </w:p>
        </w:tc>
      </w:tr>
    </w:tbl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Recruiting the right champions</w:t>
      </w:r>
    </w:p>
    <w:p>
      <w:pPr>
        <w:pStyle w:val="ListParagraph"/>
        <w:numPr>
          <w:ilvl w:val="0"/>
          <w:numId w:val="3"/>
        </w:numPr>
        <w:spacing w:lineRule="exact" w:line="258" w:before="0" w:after="70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Respected, warm, and already influential in the family or women’s group — not the loudest, the most trusted.</w:t>
      </w:r>
    </w:p>
    <w:p>
      <w:pPr>
        <w:pStyle w:val="ListParagraph"/>
        <w:numPr>
          <w:ilvl w:val="0"/>
          <w:numId w:val="1"/>
        </w:numPr>
        <w:spacing w:lineRule="exact" w:line="258" w:before="0" w:after="70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An admin or elder in a family WhatsApp group is gold: she already holds a channel.</w:t>
      </w:r>
    </w:p>
    <w:p>
      <w:pPr>
        <w:pStyle w:val="ListParagraph"/>
        <w:numPr>
          <w:ilvl w:val="0"/>
          <w:numId w:val="1"/>
        </w:numPr>
        <w:spacing w:lineRule="exact" w:line="258" w:before="0" w:after="70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Willing to be curious in public — the recruit who says “I never thought of it that way” will carry others.</w:t>
      </w:r>
    </w:p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The five sessions, at a glance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1400"/>
        <w:gridCol w:w="7959"/>
      </w:tblGrid>
      <w:tr>
        <w:trPr>
          <w:tblHeader w:val="true"/>
        </w:trPr>
        <w:tc>
          <w:tcPr>
            <w:tcW w:w="14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Session</w:t>
            </w:r>
          </w:p>
        </w:tc>
        <w:tc>
          <w:tcPr>
            <w:tcW w:w="79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Focus</w:t>
            </w:r>
          </w:p>
        </w:tc>
      </w:tr>
      <w:tr>
        <w:trPr/>
        <w:tc>
          <w:tcPr>
            <w:tcW w:w="14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1</w:t>
            </w:r>
          </w:p>
        </w:tc>
        <w:tc>
          <w:tcPr>
            <w:tcW w:w="79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The room we’re in — why older women hold the keys, and what we transmit.</w:t>
            </w:r>
          </w:p>
        </w:tc>
      </w:tr>
      <w:tr>
        <w:trPr/>
        <w:tc>
          <w:tcPr>
            <w:tcW w:w="14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2</w:t>
            </w:r>
          </w:p>
        </w:tc>
        <w:tc>
          <w:tcPr>
            <w:tcW w:w="79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Truth sandwiches — lead with the fact, name the myth once, close with the fact.</w:t>
            </w:r>
          </w:p>
        </w:tc>
      </w:tr>
      <w:tr>
        <w:trPr/>
        <w:tc>
          <w:tcPr>
            <w:tcW w:w="14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3</w:t>
            </w:r>
          </w:p>
        </w:tc>
        <w:tc>
          <w:tcPr>
            <w:tcW w:w="79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The four myths &amp; the elder cards — practising the new lines out loud.</w:t>
            </w:r>
          </w:p>
        </w:tc>
      </w:tr>
      <w:tr>
        <w:trPr/>
        <w:tc>
          <w:tcPr>
            <w:tcW w:w="14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4</w:t>
            </w:r>
          </w:p>
        </w:tc>
        <w:tc>
          <w:tcPr>
            <w:tcW w:w="79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My channels — the kitchen, the WhatsApp group, the gathering, the doorstep.</w:t>
            </w:r>
          </w:p>
        </w:tc>
      </w:tr>
      <w:tr>
        <w:trPr/>
        <w:tc>
          <w:tcPr>
            <w:tcW w:w="14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5</w:t>
            </w:r>
          </w:p>
        </w:tc>
        <w:tc>
          <w:tcPr>
            <w:tcW w:w="79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Becoming a champion — the Aunty’s card, and how we’ll know it’s working.</w:t>
            </w:r>
          </w:p>
        </w:tc>
      </w:tr>
    </w:tbl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Facilitating offline and low-bandwidth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Much of your reach will be in rooms with no reliable data. The Field Guide is built for exactly this — the two-track design means the app and the paper are the same content, and the QR codes are the bridge between them.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[2]</w:t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EDF3EF"/>
              <w:left w:val="single" w:sz="28" w:space="0" w:color="2E6B4F"/>
              <w:bottom w:val="single" w:sz="2" w:space="0" w:color="EDF3EF"/>
              <w:right w:val="single" w:sz="2" w:space="0" w:color="EDF3EF"/>
            </w:tcBorders>
            <w:shd w:fill="EDF3EF" w:val="clear"/>
          </w:tcPr>
          <w:p>
            <w:pPr>
              <w:pStyle w:val="Normal"/>
              <w:spacing w:before="0" w:after="60"/>
              <w:rPr/>
            </w:pPr>
            <w:r>
              <w:rPr>
                <w:rFonts w:eastAsia="Calibri" w:cs="Calibri"/>
                <w:b/>
                <w:bCs/>
                <w:color w:val="2E6B4F"/>
                <w:spacing w:val="30"/>
                <w:sz w:val="14"/>
                <w:szCs w:val="14"/>
              </w:rPr>
              <w:t>ENTRY POINTS FOR YOUR ORGANISATION</w:t>
            </w:r>
            <w:r>
              <w:rPr>
                <w:rFonts w:eastAsia="Calibri" w:cs="Calibri"/>
                <w:b/>
                <w:bCs/>
                <w:color w:val="2E6B4F"/>
                <w:sz w:val="18"/>
                <w:szCs w:val="18"/>
              </w:rPr>
              <w:t xml:space="preserve">   ·   Making the two tracks work together</w:t>
            </w:r>
          </w:p>
          <w:p>
            <w:pPr>
              <w:pStyle w:val="Normal"/>
              <w:spacing w:lineRule="exact" w:line="262" w:before="0" w:after="58"/>
              <w:rPr/>
            </w:pPr>
            <w:r>
              <w:rPr>
                <w:rFonts w:eastAsia="Calibri" w:cs="Calibri"/>
                <w:b/>
                <w:bCs/>
                <w:color w:val="2E6B4F"/>
                <w:sz w:val="20"/>
                <w:szCs w:val="20"/>
              </w:rPr>
              <w:t xml:space="preserve">→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2C3340"/>
                <w:sz w:val="21"/>
                <w:szCs w:val="21"/>
              </w:rPr>
              <w:t xml:space="preserve">Install once, use anywhere.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2C3340"/>
                <w:sz w:val="21"/>
                <w:szCs w:val="21"/>
              </w:rPr>
              <w:t>Install the app on your own phone over wifi; it then runs fully offline in the field, tools and all.</w:t>
            </w:r>
          </w:p>
          <w:p>
            <w:pPr>
              <w:pStyle w:val="Normal"/>
              <w:spacing w:lineRule="exact" w:line="262" w:before="0" w:after="58"/>
              <w:rPr/>
            </w:pPr>
            <w:r>
              <w:rPr>
                <w:rFonts w:eastAsia="Calibri" w:cs="Calibri"/>
                <w:b/>
                <w:bCs/>
                <w:color w:val="2E6B4F"/>
                <w:sz w:val="20"/>
                <w:szCs w:val="20"/>
              </w:rPr>
              <w:t xml:space="preserve">→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2C3340"/>
                <w:sz w:val="21"/>
                <w:szCs w:val="21"/>
              </w:rPr>
              <w:t xml:space="preserve">Print the job-aids.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2C3340"/>
                <w:sz w:val="21"/>
                <w:szCs w:val="21"/>
              </w:rPr>
              <w:t>Each module folds to a one-page aid; the Mother &amp; Aunty module folds to the Champion Aunty and Myth &amp; Fact cards.</w:t>
            </w:r>
          </w:p>
          <w:p>
            <w:pPr>
              <w:pStyle w:val="Normal"/>
              <w:spacing w:lineRule="exact" w:line="262" w:before="0" w:after="0"/>
              <w:rPr/>
            </w:pPr>
            <w:r>
              <w:rPr>
                <w:rFonts w:eastAsia="Calibri" w:cs="Calibri"/>
                <w:b/>
                <w:bCs/>
                <w:color w:val="2E6B4F"/>
                <w:sz w:val="20"/>
                <w:szCs w:val="20"/>
              </w:rPr>
              <w:t xml:space="preserve">→  </w:t>
            </w:r>
            <w:r>
              <w:rPr>
                <w:rFonts w:eastAsia="Calibri" w:cs="Calibri"/>
                <w:b/>
                <w:bCs/>
                <w:i w:val="false"/>
                <w:iCs w:val="false"/>
                <w:color w:val="2C3340"/>
                <w:sz w:val="21"/>
                <w:szCs w:val="21"/>
              </w:rPr>
              <w:t xml:space="preserve">Let the QR do the bridging. </w:t>
            </w:r>
            <w:r>
              <w:rPr>
                <w:rFonts w:eastAsia="Calibri" w:cs="Calibri"/>
                <w:b w:val="false"/>
                <w:bCs w:val="false"/>
                <w:i w:val="false"/>
                <w:iCs w:val="false"/>
                <w:color w:val="2C3340"/>
                <w:sz w:val="21"/>
                <w:szCs w:val="21"/>
              </w:rPr>
              <w:t>A participant scans the code on paper to open that exact module — or its audio — when they next have data. The code points straight to the module (a deep link), not just the home page.</w:t>
            </w:r>
          </w:p>
        </w:tc>
      </w:tr>
    </w:tbl>
    <w:p>
      <w:pPr>
        <w:pStyle w:val="Normal"/>
        <w:spacing w:before="0" w:after="150"/>
        <w:rPr/>
      </w:pPr>
      <w:r>
        <w:rPr/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Knowing it is working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You do not need a research team to see change. As a facilitator, watch for realistic intermediate signs — the same ones the strategy measures, at the size of a room.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[1]</w:t>
      </w:r>
    </w:p>
    <w:p>
      <w:pPr>
        <w:pStyle w:val="ListParagraph"/>
        <w:numPr>
          <w:ilvl w:val="0"/>
          <w:numId w:val="1"/>
        </w:numPr>
        <w:spacing w:lineRule="exact" w:line="258" w:before="0" w:after="70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Script adoption — a participant repeats a re-scripted line back in their own words, unprompted.</w:t>
      </w:r>
    </w:p>
    <w:p>
      <w:pPr>
        <w:pStyle w:val="ListParagraph"/>
        <w:numPr>
          <w:ilvl w:val="0"/>
          <w:numId w:val="1"/>
        </w:numPr>
        <w:spacing w:lineRule="exact" w:line="258" w:before="0" w:after="70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Content shift — the messages your trained facilitators put out start leading with value, not with “rights”.</w:t>
      </w:r>
    </w:p>
    <w:p>
      <w:pPr>
        <w:pStyle w:val="ListParagraph"/>
        <w:numPr>
          <w:ilvl w:val="0"/>
          <w:numId w:val="1"/>
        </w:numPr>
        <w:spacing w:lineRule="exact" w:line="258" w:before="0" w:after="70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Service-seeking — a champion reports walking a girl to the clinic, or a quieter, safer conversation at home.</w:t>
      </w:r>
    </w:p>
    <w:p>
      <w:pPr>
        <w:pStyle w:val="ListParagraph"/>
        <w:numPr>
          <w:ilvl w:val="0"/>
          <w:numId w:val="1"/>
        </w:numPr>
        <w:spacing w:lineRule="exact" w:line="258" w:before="0" w:after="70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Prebunking reflex — someone in the group names the trick in a new forward before anyone debates the claim.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b/>
          <w:bCs/>
          <w:i w:val="false"/>
          <w:iCs w:val="false"/>
          <w:color w:val="222B42"/>
          <w:sz w:val="21"/>
          <w:szCs w:val="21"/>
        </w:rPr>
        <w:t xml:space="preserve">Record these as stories, not just numbers. </w:t>
      </w:r>
      <w:r>
        <w:rPr>
          <w:rFonts w:eastAsia="Calibri" w:cs="Calibri"/>
          <w:b w:val="false"/>
          <w:bCs w:val="false"/>
          <w:i w:val="false"/>
          <w:iCs w:val="false"/>
          <w:color w:val="2C3340"/>
          <w:sz w:val="21"/>
          <w:szCs w:val="21"/>
        </w:rPr>
        <w:t>One champion aunty’s account of changing her advice is worth more to the next cohort than a percentage — and it becomes the next session’s opening scene.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[1]</w:t>
      </w:r>
      <w:r>
        <w:br w:type="page"/>
      </w:r>
    </w:p>
    <w:p>
      <w:pPr>
        <w:pStyle w:val="Normal"/>
        <w:keepNext w:val="true"/>
        <w:spacing w:before="0" w:after="40"/>
        <w:rPr/>
      </w:pPr>
      <w:r>
        <w:rPr>
          <w:rFonts w:eastAsia="Calibri" w:cs="Calibri"/>
          <w:b/>
          <w:bCs/>
          <w:color w:val="C6A15B"/>
          <w:spacing w:val="30"/>
          <w:sz w:val="16"/>
          <w:szCs w:val="16"/>
        </w:rPr>
        <w:t>QUICK REFERENCE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Do and don’t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4680"/>
        <w:gridCol w:w="4679"/>
      </w:tblGrid>
      <w:tr>
        <w:trPr>
          <w:tblHeader w:val="true"/>
        </w:trPr>
        <w:tc>
          <w:tcPr>
            <w:tcW w:w="468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Do</w:t>
            </w:r>
          </w:p>
        </w:tc>
        <w:tc>
          <w:tcPr>
            <w:tcW w:w="467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Don’t</w:t>
            </w:r>
          </w:p>
        </w:tc>
      </w:tr>
      <w:tr>
        <w:trPr/>
        <w:tc>
          <w:tcPr>
            <w:tcW w:w="468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Open on a person and a scene.</w:t>
            </w:r>
          </w:p>
        </w:tc>
        <w:tc>
          <w:tcPr>
            <w:tcW w:w="467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Open on a definition or a statistic.</w:t>
            </w:r>
          </w:p>
        </w:tc>
      </w:tr>
      <w:tr>
        <w:trPr/>
        <w:tc>
          <w:tcPr>
            <w:tcW w:w="468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Lead with a value the room already holds.</w:t>
            </w:r>
          </w:p>
        </w:tc>
        <w:tc>
          <w:tcPr>
            <w:tcW w:w="467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Lead with “rights”, or with what people are doing wrong.</w:t>
            </w:r>
          </w:p>
        </w:tc>
      </w:tr>
      <w:tr>
        <w:trPr/>
        <w:tc>
          <w:tcPr>
            <w:tcW w:w="468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Hand over a new line to replace the old one.</w:t>
            </w:r>
          </w:p>
        </w:tc>
        <w:tc>
          <w:tcPr>
            <w:tcW w:w="467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Leave a belief demolished with nothing in its place.</w:t>
            </w:r>
          </w:p>
        </w:tc>
      </w:tr>
      <w:tr>
        <w:trPr/>
        <w:tc>
          <w:tcPr>
            <w:tcW w:w="468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Run the tool together, then let them practise on their own case.</w:t>
            </w:r>
          </w:p>
        </w:tc>
        <w:tc>
          <w:tcPr>
            <w:tcW w:w="467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Demonstrate the tool and move on without practice.</w:t>
            </w:r>
          </w:p>
        </w:tc>
      </w:tr>
      <w:tr>
        <w:trPr/>
        <w:tc>
          <w:tcPr>
            <w:tcW w:w="468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Treat the aunty, the uncle and the father as future allies.</w:t>
            </w:r>
          </w:p>
        </w:tc>
        <w:tc>
          <w:tcPr>
            <w:tcW w:w="467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Turn anyone in the family — or the room — into the villain.</w:t>
            </w:r>
          </w:p>
        </w:tc>
      </w:tr>
      <w:tr>
        <w:trPr/>
        <w:tc>
          <w:tcPr>
            <w:tcW w:w="468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Close every session on a concrete commitment.</w:t>
            </w:r>
          </w:p>
        </w:tc>
        <w:tc>
          <w:tcPr>
            <w:tcW w:w="467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End on “any questions?” with nothing captured.</w:t>
            </w:r>
          </w:p>
        </w:tc>
      </w:tr>
    </w:tbl>
    <w:p>
      <w:pPr>
        <w:pStyle w:val="Normal"/>
        <w:keepNext w:val="true"/>
        <w:spacing w:before="0" w:after="40"/>
        <w:rPr/>
      </w:pPr>
      <w:r>
        <w:br w:type="page"/>
      </w:r>
      <w:r>
        <w:rPr>
          <w:rFonts w:eastAsia="Calibri" w:cs="Calibri"/>
          <w:b/>
          <w:bCs/>
          <w:color w:val="C6A15B"/>
          <w:spacing w:val="30"/>
          <w:sz w:val="16"/>
          <w:szCs w:val="16"/>
        </w:rPr>
        <w:t>APPENDIX</w:t>
      </w:r>
    </w:p>
    <w:p>
      <w:pPr>
        <w:pStyle w:val="Heading1"/>
        <w:keepNext w:val="true"/>
        <w:pBdr>
          <w:bottom w:val="single" w:sz="12" w:space="6" w:color="C6A15B"/>
        </w:pBdr>
        <w:spacing w:before="320" w:after="140"/>
        <w:rPr/>
      </w:pPr>
      <w:r>
        <w:rPr>
          <w:rFonts w:eastAsia="Calibri" w:cs="Calibri" w:ascii="Calibri" w:hAnsi="Calibri"/>
          <w:b/>
          <w:bCs/>
          <w:color w:val="111827"/>
          <w:sz w:val="30"/>
          <w:szCs w:val="30"/>
        </w:rPr>
        <w:t>A one-day introductory workshop</w:t>
      </w:r>
    </w:p>
    <w:p>
      <w:pPr>
        <w:pStyle w:val="Normal"/>
        <w:spacing w:lineRule="exact" w:line="268" w:before="0" w:after="120"/>
        <w:rPr/>
      </w:pPr>
      <w:r>
        <w:rPr>
          <w:rFonts w:eastAsia="Calibri" w:cs="Calibri"/>
          <w:color w:val="2C3340"/>
          <w:sz w:val="21"/>
          <w:szCs w:val="21"/>
        </w:rPr>
        <w:t>When you have a single day rather than a full ToT, this agenda gives a team a working grasp of the guide and one tool they will actually use on Monday.</w:t>
      </w:r>
      <w:r>
        <w:rPr>
          <w:rFonts w:eastAsia="Calibri" w:cs="Calibri"/>
          <w:b/>
          <w:bCs/>
          <w:color w:val="A8863F"/>
          <w:sz w:val="13"/>
          <w:szCs w:val="13"/>
          <w:vertAlign w:val="superscript"/>
        </w:rPr>
        <w:t xml:space="preserve"> [2]</w:t>
      </w:r>
    </w:p>
    <w:tbl>
      <w:tblPr>
        <w:tblW w:w="9360" w:type="dxa"/>
        <w:jc w:val="left"/>
        <w:tblInd w:w="0" w:type="dxa"/>
        <w:tblLayout w:type="fixed"/>
        <w:tblCellMar>
          <w:top w:w="90" w:type="dxa"/>
          <w:left w:w="130" w:type="dxa"/>
          <w:bottom w:w="90" w:type="dxa"/>
          <w:right w:w="130" w:type="dxa"/>
        </w:tblCellMar>
      </w:tblPr>
      <w:tblGrid>
        <w:gridCol w:w="1300"/>
        <w:gridCol w:w="8059"/>
      </w:tblGrid>
      <w:tr>
        <w:trPr>
          <w:tblHeader w:val="true"/>
        </w:trPr>
        <w:tc>
          <w:tcPr>
            <w:tcW w:w="13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Time</w:t>
            </w:r>
          </w:p>
        </w:tc>
        <w:tc>
          <w:tcPr>
            <w:tcW w:w="80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111827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/>
                <w:bCs/>
                <w:color w:val="FFFFFF"/>
                <w:sz w:val="15"/>
                <w:szCs w:val="15"/>
              </w:rPr>
              <w:t>Session</w:t>
            </w:r>
          </w:p>
        </w:tc>
      </w:tr>
      <w:tr>
        <w:trPr/>
        <w:tc>
          <w:tcPr>
            <w:tcW w:w="13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09:00</w:t>
            </w:r>
          </w:p>
        </w:tc>
        <w:tc>
          <w:tcPr>
            <w:tcW w:w="80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Meet the Achieng family; the two-track guide; the five principles.</w:t>
            </w:r>
          </w:p>
        </w:tc>
      </w:tr>
      <w:tr>
        <w:trPr/>
        <w:tc>
          <w:tcPr>
            <w:tcW w:w="13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10:00</w:t>
            </w:r>
          </w:p>
        </w:tc>
        <w:tc>
          <w:tcPr>
            <w:tcW w:w="80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Module 1 (The System) and Module 2 (Disinformation), run in full.</w:t>
            </w:r>
          </w:p>
        </w:tc>
      </w:tr>
      <w:tr>
        <w:trPr/>
        <w:tc>
          <w:tcPr>
            <w:tcW w:w="13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11:30</w:t>
            </w:r>
          </w:p>
        </w:tc>
        <w:tc>
          <w:tcPr>
            <w:tcW w:w="80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Module 4 (Reframing) — the worksheet, applied to the team’s real messages.</w:t>
            </w:r>
          </w:p>
        </w:tc>
      </w:tr>
      <w:tr>
        <w:trPr/>
        <w:tc>
          <w:tcPr>
            <w:tcW w:w="13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13:30</w:t>
            </w:r>
          </w:p>
        </w:tc>
        <w:tc>
          <w:tcPr>
            <w:tcW w:w="80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Module 7 &amp; 8 (Mother &amp; Aunty) — the frontier and the champion pathway.</w:t>
            </w:r>
          </w:p>
        </w:tc>
      </w:tr>
      <w:tr>
        <w:trPr/>
        <w:tc>
          <w:tcPr>
            <w:tcW w:w="13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15:00</w:t>
            </w:r>
          </w:p>
        </w:tc>
        <w:tc>
          <w:tcPr>
            <w:tcW w:w="80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FFFFF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Module 6 (The Operating System) — assign the five habits to owners.</w:t>
            </w:r>
          </w:p>
        </w:tc>
      </w:tr>
      <w:tr>
        <w:trPr/>
        <w:tc>
          <w:tcPr>
            <w:tcW w:w="1300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16:00</w:t>
            </w:r>
          </w:p>
        </w:tc>
        <w:tc>
          <w:tcPr>
            <w:tcW w:w="8059" w:type="dxa"/>
            <w:tcBorders>
              <w:top w:val="single" w:sz="4" w:space="0" w:color="D9DDE5"/>
              <w:left w:val="single" w:sz="4" w:space="0" w:color="D9DDE5"/>
              <w:bottom w:val="single" w:sz="4" w:space="0" w:color="D9DDE5"/>
              <w:right w:val="single" w:sz="4" w:space="0" w:color="D9DDE5"/>
            </w:tcBorders>
            <w:shd w:fill="F2F4F8" w:val="clear"/>
          </w:tcPr>
          <w:p>
            <w:pPr>
              <w:pStyle w:val="Normal"/>
              <w:spacing w:lineRule="exact" w:line="252" w:before="0" w:after="0"/>
              <w:jc w:val="left"/>
              <w:rPr/>
            </w:pPr>
            <w:r>
              <w:rPr>
                <w:rFonts w:eastAsia="Calibri" w:cs="Calibri"/>
                <w:b w:val="false"/>
                <w:bCs w:val="false"/>
                <w:color w:val="2C3340"/>
                <w:sz w:val="15"/>
                <w:szCs w:val="15"/>
              </w:rPr>
              <w:t>Commitments: each person names one change; set the next check-in.</w:t>
            </w:r>
          </w:p>
        </w:tc>
      </w:tr>
    </w:tbl>
    <w:p>
      <w:pPr>
        <w:pStyle w:val="Heading2"/>
        <w:keepNext w:val="true"/>
        <w:spacing w:before="240" w:after="100"/>
        <w:rPr/>
      </w:pPr>
      <w:r>
        <w:rPr>
          <w:rFonts w:eastAsia="Calibri" w:cs="Calibri" w:ascii="Calibri" w:hAnsi="Calibri"/>
          <w:b/>
          <w:bCs/>
          <w:color w:val="222B42"/>
          <w:sz w:val="25"/>
          <w:szCs w:val="25"/>
        </w:rPr>
        <w:t>Facilitator’s pre-session checklist</w:t>
      </w:r>
    </w:p>
    <w:p>
      <w:pPr>
        <w:pStyle w:val="ListParagraph"/>
        <w:numPr>
          <w:ilvl w:val="0"/>
          <w:numId w:val="1"/>
        </w:numPr>
        <w:spacing w:lineRule="exact" w:line="258" w:before="0" w:after="70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The app installed on your phone, and tested offline, before you travel.</w:t>
      </w:r>
    </w:p>
    <w:p>
      <w:pPr>
        <w:pStyle w:val="ListParagraph"/>
        <w:numPr>
          <w:ilvl w:val="0"/>
          <w:numId w:val="1"/>
        </w:numPr>
        <w:spacing w:lineRule="exact" w:line="258" w:before="0" w:after="70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Printed job-aids for the modules you will run, plus the Mother &amp; Aunty cards.</w:t>
      </w:r>
    </w:p>
    <w:p>
      <w:pPr>
        <w:pStyle w:val="ListParagraph"/>
        <w:numPr>
          <w:ilvl w:val="0"/>
          <w:numId w:val="1"/>
        </w:numPr>
        <w:spacing w:lineRule="exact" w:line="258" w:before="0" w:after="70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One real message or warning from the participants’ own context, ready to reframe.</w:t>
      </w:r>
    </w:p>
    <w:p>
      <w:pPr>
        <w:pStyle w:val="ListParagraph"/>
        <w:numPr>
          <w:ilvl w:val="0"/>
          <w:numId w:val="1"/>
        </w:numPr>
        <w:spacing w:lineRule="exact" w:line="258" w:before="0" w:after="70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A way to capture commitments, and a date for the follow-up.</w:t>
      </w:r>
    </w:p>
    <w:p>
      <w:pPr>
        <w:pStyle w:val="ListParagraph"/>
        <w:numPr>
          <w:ilvl w:val="0"/>
          <w:numId w:val="1"/>
        </w:numPr>
        <w:spacing w:lineRule="exact" w:line="258" w:before="0" w:after="70"/>
        <w:rPr/>
      </w:pPr>
      <w:r>
        <w:rPr>
          <w:rFonts w:eastAsia="Calibri" w:cs="Calibri"/>
          <w:b w:val="false"/>
          <w:bCs w:val="false"/>
          <w:i w:val="false"/>
          <w:iCs w:val="false"/>
          <w:caps w:val="false"/>
          <w:smallCaps w:val="false"/>
          <w:color w:val="2C3340"/>
          <w:sz w:val="21"/>
          <w:szCs w:val="21"/>
        </w:rPr>
        <w:t>The cast in the room — printed or on screen — so the family stays present.</w:t>
      </w:r>
    </w:p>
    <w:p>
      <w:pPr>
        <w:pStyle w:val="Normal"/>
        <w:spacing w:before="0" w:after="12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40" w:type="dxa"/>
          <w:left w:w="220" w:type="dxa"/>
          <w:bottom w:w="140" w:type="dxa"/>
          <w:right w:w="200" w:type="dxa"/>
        </w:tblCellMar>
      </w:tblPr>
      <w:tblGrid>
        <w:gridCol w:w="9360"/>
      </w:tblGrid>
      <w:tr>
        <w:trPr/>
        <w:tc>
          <w:tcPr>
            <w:tcW w:w="9360" w:type="dxa"/>
            <w:tcBorders>
              <w:top w:val="single" w:sz="2" w:space="0" w:color="111827"/>
              <w:left w:val="single" w:sz="28" w:space="0" w:color="C6A15B"/>
              <w:bottom w:val="single" w:sz="2" w:space="0" w:color="111827"/>
              <w:right w:val="single" w:sz="2" w:space="0" w:color="111827"/>
            </w:tcBorders>
            <w:shd w:fill="111827" w:val="clear"/>
          </w:tcPr>
          <w:p>
            <w:pPr>
              <w:pStyle w:val="Normal"/>
              <w:spacing w:lineRule="exact" w:line="264" w:before="0" w:after="0"/>
              <w:rPr/>
            </w:pPr>
            <w:r>
              <w:rPr>
                <w:rFonts w:eastAsia="Calibri" w:cs="Calibri"/>
                <w:b/>
                <w:bCs/>
                <w:color w:val="C6A15B"/>
                <w:sz w:val="20"/>
                <w:szCs w:val="20"/>
              </w:rPr>
              <w:t xml:space="preserve">Remember. </w:t>
            </w:r>
            <w:r>
              <w:rPr>
                <w:rFonts w:eastAsia="Calibri" w:cs="Calibri"/>
                <w:color w:val="FFFFFF"/>
                <w:sz w:val="20"/>
                <w:szCs w:val="20"/>
              </w:rPr>
              <w:t>You are the first trusted messenger the room meets. The way you hold the family — with respect, patience and belief in their conversion — is the method. Facilitate the guide the way it asks Beth to be treated, and the room will carry it exactly that way to the next.</w:t>
            </w:r>
          </w:p>
        </w:tc>
      </w:tr>
    </w:tbl>
    <w:p>
      <w:pPr>
        <w:pStyle w:val="Normal"/>
        <w:spacing w:before="0" w:after="120"/>
        <w:rPr/>
      </w:pPr>
      <w:r>
        <w:rPr/>
      </w:r>
    </w:p>
    <w:p>
      <w:pPr>
        <w:pStyle w:val="Normal"/>
        <w:spacing w:before="40" w:after="0"/>
        <w:jc w:val="center"/>
        <w:rPr/>
      </w:pPr>
      <w:r>
        <w:rPr>
          <w:rFonts w:eastAsia="Calibri" w:cs="Calibri"/>
          <w:i/>
          <w:iCs/>
          <w:color w:val="222B42"/>
          <w:sz w:val="19"/>
          <w:szCs w:val="19"/>
        </w:rPr>
        <w:t>Respectfully. Relentlessly. Together.</w:t>
      </w:r>
    </w:p>
    <w:p>
      <w:pPr>
        <w:pStyle w:val="Normal"/>
        <w:spacing w:before="40" w:after="0"/>
        <w:jc w:val="center"/>
        <w:rPr/>
      </w:pPr>
      <w:r>
        <w:rPr>
          <w:rFonts w:eastAsia="Calibri" w:cs="Calibri"/>
          <w:color w:val="8892B0"/>
          <w:sz w:val="15"/>
          <w:szCs w:val="15"/>
        </w:rPr>
        <w:t>Community Media Trust (CoMeT)  ·  imaarishasrhr.org  ·  cmt.kenya@gmail.com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180" w:right="1180" w:gutter="0" w:header="708" w:top="1180" w:footer="708" w:bottom="1080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D9DDE5"/>
      </w:pBdr>
      <w:tabs>
        <w:tab w:val="clear" w:pos="720"/>
        <w:tab w:val="right" w:pos="9360" w:leader="none"/>
      </w:tabs>
      <w:spacing w:before="0" w:after="0"/>
      <w:rPr/>
    </w:pPr>
    <w:r>
      <w:rPr>
        <w:rFonts w:eastAsia="Calibri" w:cs="Calibri"/>
        <w:color w:val="8892B0"/>
        <w:sz w:val="14"/>
        <w:szCs w:val="14"/>
      </w:rPr>
      <w:t>Community Media Trust (CoMeT)  ·  Phase 2 Media Development</w:t>
      <w:tab/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top w:val="single" w:sz="6" w:space="4" w:color="D9DDE5"/>
      </w:pBdr>
      <w:tabs>
        <w:tab w:val="clear" w:pos="720"/>
        <w:tab w:val="right" w:pos="9360" w:leader="none"/>
      </w:tabs>
      <w:spacing w:before="0" w:after="0"/>
      <w:rPr/>
    </w:pPr>
    <w:r>
      <w:rPr>
        <w:rFonts w:eastAsia="Calibri" w:cs="Calibri"/>
        <w:color w:val="8892B0"/>
        <w:sz w:val="14"/>
        <w:szCs w:val="14"/>
      </w:rPr>
      <w:t>Community Media Trust (CoMeT)  ·  Phase 2 Media Development</w:t>
      <w:tab/>
      <w:tab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D9DDE5"/>
      </w:pBdr>
      <w:spacing w:before="0" w:after="0"/>
      <w:rPr/>
    </w:pPr>
    <w:r>
      <w:rPr>
        <w:rFonts w:eastAsia="Calibri" w:cs="Calibri"/>
        <w:b/>
        <w:bCs/>
        <w:color w:val="111827"/>
        <w:sz w:val="15"/>
        <w:szCs w:val="15"/>
      </w:rPr>
      <w:t>Imaarisha</w:t>
    </w:r>
    <w:r>
      <w:rPr>
        <w:rFonts w:eastAsia="Calibri" w:cs="Calibri"/>
        <w:b/>
        <w:bCs/>
        <w:color w:val="C6A15B"/>
        <w:sz w:val="15"/>
        <w:szCs w:val="15"/>
      </w:rPr>
      <w:t>SRHR</w:t>
    </w:r>
    <w:r>
      <w:rPr>
        <w:rFonts w:eastAsia="Calibri" w:cs="Calibri"/>
        <w:color w:val="8892B0"/>
        <w:sz w:val="15"/>
        <w:szCs w:val="15"/>
      </w:rPr>
      <w:t xml:space="preserve">   ·   Facilitator &amp; Training-of-Trainers Manual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pBdr>
        <w:bottom w:val="single" w:sz="6" w:space="4" w:color="D9DDE5"/>
      </w:pBdr>
      <w:spacing w:before="0" w:after="0"/>
      <w:rPr/>
    </w:pPr>
    <w:r>
      <w:rPr>
        <w:rFonts w:eastAsia="Calibri" w:cs="Calibri"/>
        <w:b/>
        <w:bCs/>
        <w:color w:val="111827"/>
        <w:sz w:val="15"/>
        <w:szCs w:val="15"/>
      </w:rPr>
      <w:t>Imaarisha</w:t>
    </w:r>
    <w:r>
      <w:rPr>
        <w:rFonts w:eastAsia="Calibri" w:cs="Calibri"/>
        <w:b/>
        <w:bCs/>
        <w:color w:val="C6A15B"/>
        <w:sz w:val="15"/>
        <w:szCs w:val="15"/>
      </w:rPr>
      <w:t>SRHR</w:t>
    </w:r>
    <w:r>
      <w:rPr>
        <w:rFonts w:eastAsia="Calibri" w:cs="Calibri"/>
        <w:color w:val="8892B0"/>
        <w:sz w:val="15"/>
        <w:szCs w:val="15"/>
      </w:rPr>
      <w:t xml:space="preserve">   ·   Facilitator &amp; Training-of-Trainers Manual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360" w:hanging="200"/>
      </w:pPr>
      <w:rPr>
        <w:rFonts w:ascii="Symbol" w:hAnsi="Symbol" w:cs="Symbol" w:hint="default"/>
        <w:color w:val="C6A15B"/>
      </w:rPr>
    </w:lvl>
    <w:lvl w:ilvl="1">
      <w:start w:val="1"/>
      <w:numFmt w:val="bullet"/>
      <w:lvlText w:val=""/>
      <w:lvlJc w:val="left"/>
      <w:pPr>
        <w:tabs>
          <w:tab w:val="num" w:pos="0"/>
        </w:tabs>
        <w:ind w:left="720" w:hanging="200"/>
      </w:pPr>
      <w:rPr>
        <w:rFonts w:ascii="Symbol" w:hAnsi="Symbol" w:cs="Symbol" w:hint="default"/>
        <w:color w:val="C6A15B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color w:val="2C3340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C3340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2C3340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2C3340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2026-09-16T22:15:28Z</dcterms:created>
  <dc:creator>Un-named</dc:creator>
  <dc:description/>
  <dc:language>en-US</dc:language>
  <cp:lastModifiedBy>Un-named</cp:lastModifiedBy>
  <dcterms:modified xsi:type="dcterms:W3CDTF">2026-09-16T22:15:28Z</dcterms:modified>
  <cp:revision>1</cp:revision>
  <dc:subject/>
  <dc:title/>
</cp:coreProperties>
</file>