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914400" cy="7810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left"/>
        <w:tblInd w:w="0" w:type="dxa"/>
        <w:tblLayout w:type="fixed"/>
        <w:tblCellMar>
          <w:top w:w="520" w:type="dxa"/>
          <w:left w:w="360" w:type="dxa"/>
          <w:bottom w:w="520" w:type="dxa"/>
          <w:right w:w="3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fill="111827" w:val="clear"/>
          </w:tcPr>
          <w:p>
            <w:pPr>
              <w:pStyle w:val="Normal"/>
              <w:spacing w:before="0" w:after="200"/>
              <w:rPr/>
            </w:pPr>
            <w:r>
              <w:rPr>
                <w:rFonts w:eastAsia="Calibri" w:cs="Calibri"/>
                <w:b/>
                <w:bCs/>
                <w:color w:val="FFFFFF"/>
                <w:sz w:val="30"/>
                <w:szCs w:val="30"/>
              </w:rPr>
              <w:t>Imaarisha</w:t>
            </w:r>
            <w:r>
              <w:rPr>
                <w:rFonts w:eastAsia="Calibri" w:cs="Calibri"/>
                <w:b/>
                <w:bCs/>
                <w:color w:val="C6A15B"/>
                <w:sz w:val="30"/>
                <w:szCs w:val="30"/>
              </w:rPr>
              <w:t>SRHR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A15B"/>
                <w:spacing w:val="40"/>
                <w:sz w:val="18"/>
                <w:szCs w:val="18"/>
              </w:rPr>
              <w:t>PHASE 2 · ILLUSTRATOR BRIEF · ADDENDUM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Every asset,</w:t>
            </w:r>
          </w:p>
          <w:p>
            <w:pPr>
              <w:pStyle w:val="Normal"/>
              <w:spacing w:before="0" w:after="16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on one sheet</w:t>
            </w:r>
          </w:p>
          <w:p>
            <w:pPr>
              <w:pStyle w:val="Normal"/>
              <w:spacing w:before="0" w:after="220"/>
              <w:rPr/>
            </w:pPr>
            <w:r>
              <w:rPr>
                <w:rFonts w:eastAsia="Calibri" w:cs="Calibri"/>
                <w:color w:val="C9D1E0"/>
                <w:sz w:val="24"/>
                <w:szCs w:val="24"/>
              </w:rPr>
              <w:t>A single, quotable production list for the five-film kinetic &amp; cinemagraph slate: every character pose, plate, motion loop, icon and reusable template — with the films that use each. Draw the one-time set once; each film is then assembly, not origination.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Community Media Trust (CoMeT)  ·  July 2026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Companion to the Kinetic &amp; Cinemagraph video scripts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imaarishasrhr.org  ·  #ImaarishaSRHR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8892B0"/>
          <w:sz w:val="19"/>
          <w:szCs w:val="19"/>
        </w:rPr>
        <w:t>For the illustrator and the motion designer: this is the whole shopping list. Quote the one-time build, then the per-film assembly separately.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HOW TO USE THIS SHEET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One build, five films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Because all five films share a cast, a plate style, a type system and an end-card, the assets below are drawn once and reused across the slate. Everything is grouped by what it is and tagged with the films (V1–V5) that use it, so a quote can separate the one-time origination from the light per-film assembly. Keep every pose faithful to the character bible — same faces, clothing and colour — because recognition across films is the mechanism, not a nicety.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tbl>
      <w:tblPr>
        <w:tblW w:w="9360" w:type="dxa"/>
        <w:jc w:val="left"/>
        <w:tblInd w:w="0" w:type="dxa"/>
        <w:tblLayout w:type="fixed"/>
        <w:tblCellMar>
          <w:top w:w="130" w:type="dxa"/>
          <w:left w:w="120" w:type="dxa"/>
          <w:bottom w:w="13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1A2035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C6A15B"/>
                <w:sz w:val="40"/>
                <w:szCs w:val="40"/>
              </w:rPr>
              <w:t>~22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C9D1E0"/>
                <w:sz w:val="16"/>
                <w:szCs w:val="16"/>
              </w:rPr>
              <w:t>character poses across the whole cast (many shared between films)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1A2035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C6A15B"/>
                <w:sz w:val="40"/>
                <w:szCs w:val="40"/>
              </w:rPr>
              <w:t>~10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C9D1E0"/>
                <w:sz w:val="16"/>
                <w:szCs w:val="16"/>
              </w:rPr>
              <w:t>plates / backgrounds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1A2035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C6A15B"/>
                <w:sz w:val="40"/>
                <w:szCs w:val="40"/>
              </w:rPr>
              <w:t>~9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C9D1E0"/>
                <w:sz w:val="16"/>
                <w:szCs w:val="16"/>
              </w:rPr>
              <w:t>cinemagraph &amp; motion loops, reused everywhere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The films: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V1 Demystifying SRHR · V2 SRHR &amp; Disinformation · V3 Myths &amp; Facts · V4 Latest Developments · V5 Where to Get Information.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1 · CHARACTER POSES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Character poses (transparent PNG)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One or two poses per character per beat, drawn from the character bible. Where a character recurs (Wanjiru, Kevo, Beth), the same poses serve multiple films.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99"/>
        <w:gridCol w:w="5361"/>
        <w:gridCol w:w="180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Character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Poses needed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Films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Aunty Beth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Stirring at the sufuria (warm); kind inset that resolves to a slow nod.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V1, V3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Mama Grace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Feeding one child while another studies (calm, capable); warm at the table (blink).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Agneta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Asking a question at the table (open, unafraid).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Young couple (cousins)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Two figures, heads together over one phone (planning).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Baba Tom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On a bench with a CHP, relaxed, mid-nod.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Nurse Wanjiru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To-camera, warm and open (steady blink + breath) — the trust anchor.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V2, V3, V4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Uncle Silas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Lit by a phone: anxious version, then calm/settled version.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V2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Kevo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Shrug (V1); host set — phone in hand, gesturing, reassuring (3 poses, V5).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V1, V5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Brenda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To-camera, quiet strength (single slow blink).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V4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CHP figure(s)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One neutral community-health-promoter figure; small ring/cluster for data beats.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V4, V5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Hero face</w:t>
            </w:r>
          </w:p>
        </w:tc>
        <w:tc>
          <w:tcPr>
            <w:tcW w:w="53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One calm Achieng face, direct to camera, for the closing reframe.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</w:t>
            </w:r>
          </w:p>
        </w:tc>
      </w:tr>
    </w:tbl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Note.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For the “blink” cinemagraph, each to-camera pose needs a matching eyes-closed variant (Wanjiru, Brenda, hero face, Grace). Cheap to draw alongside the open-eye pose; essential for the alive-and-listening effect.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2 · PLATES &amp; BACKGROUNDS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Plates &amp; backgrounds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99"/>
        <w:gridCol w:w="5161"/>
        <w:gridCol w:w="18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Plate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Films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Dawn compound kitchen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Warm golden-light interior; the sufuria; a curtain that can drift.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Table interior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calm home table for the mother–daughter and asking beats.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Bench exterior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An outdoor bench with foreground foliage (leaves to drift).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Flat brand-colour field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Solid ImaarishaSRHR colour for type-forward beats.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V1–V5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Dark network field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deep field for multiplying phone screens / the message spreading.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V2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Warm clinic corner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friendly clinic-corner behind Nurse Wanjiru (never clinical/cold).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V2, V3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Clean caption field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Minimal field for Pause·Check·Ask, Myth/Fact and the 3-question card.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V2, V3, V5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Faint Kenya map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soft, low-contrast national map for the data film.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V4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Doorstep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home doorstep for the CHP / reach beats.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V4, V5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Warm community field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general warm community backdrop for the faith-and-reach beat.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V4</w:t>
            </w:r>
          </w:p>
        </w:tc>
      </w:tr>
    </w:tbl>
    <w:p>
      <w:pPr>
        <w:pStyle w:val="Normal"/>
        <w:keepNext w:val="true"/>
        <w:spacing w:before="0" w:after="40"/>
        <w:rPr/>
      </w:pPr>
      <w:r>
        <w:br w:type="page"/>
      </w: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3 · CINEMAGRAPH &amp; MOTION LOOPS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Cinemagraph &amp; motion loops (motion designer)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Built once as masked loops or simple transforms and reused across the slate. One moving element per shot — never more.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99"/>
        <w:gridCol w:w="5161"/>
        <w:gridCol w:w="18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Loop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How it’s made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Films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Sufuria / ugali steam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looping smoke element masked over a still pot.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Curtain / cloth / hair drift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Soft wind displacement on one masked region.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Foreground leaves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few leaves drifting past in the foreground plane.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Blink / breath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Open/closed eye poses cross-faded (4–6s); chest +2px.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V1–V4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Phone / screen glow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pulsing light layer under a face; blue (fear) and gold (truth) variants.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V1, V2, V5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Parallax push-in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Foreground/background drift 3–5px, or a 4% slow zoom.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V1–V5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Replicating screen field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Phone screens multiplying outward from one point (blue → gold).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V2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Count-up counter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number racing upward and settling on the figure.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V2, V4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Myth → Fact colour wipe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warm wipe replacing grey “myth” with warm “fact”.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V3</w:t>
            </w:r>
          </w:p>
        </w:tc>
      </w:tr>
    </w:tbl>
    <w:p>
      <w:pPr>
        <w:pStyle w:val="Normal"/>
        <w:keepNext w:val="true"/>
        <w:spacing w:before="0" w:after="40"/>
        <w:rPr/>
      </w:pPr>
      <w:r>
        <w:br w:type="page"/>
      </w: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4 · ICONS &amp; GRAPHIC DEVICES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Icons &amp; graphic devices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99"/>
        <w:gridCol w:w="5161"/>
        <w:gridCol w:w="18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Device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Use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Films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“</w:t>
            </w: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FALSE” stamp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single bold-colour stamp across the false claim.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V2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Pause · Check · Ask icons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One small icon beside each of the three reflex words.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V2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Method-swap icon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Beside the “switch method” fact.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V3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Hands-meeting motif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Beside the “decide together” fact.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V3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Clinic icon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Source 1 — a health worker / clinic.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V5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Verified-badge icon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Source 2 — verified professionals online.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V5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Doorstep / CHP icon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Source 3 — ImaarishaSRHR &amp; the CHP.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V4, V5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Lock (privacy) icon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“services are private” reassurance.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V5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On-paper / in-practice columns</w:t>
            </w:r>
          </w:p>
        </w:tc>
        <w:tc>
          <w:tcPr>
            <w:tcW w:w="51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two-column tension device.</w:t>
            </w:r>
          </w:p>
        </w:tc>
        <w:tc>
          <w:tcPr>
            <w:tcW w:w="18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V4</w:t>
            </w:r>
          </w:p>
        </w:tc>
      </w:tr>
    </w:tbl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Reusable templates (build once)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These are the type-and-motion systems the whole slate shares. Design once; every film drops content into them.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299"/>
        <w:gridCol w:w="4360"/>
        <w:gridCol w:w="270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Template</w:t>
            </w:r>
          </w:p>
        </w:tc>
        <w:tc>
          <w:tcPr>
            <w:tcW w:w="4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What it is</w:t>
            </w:r>
          </w:p>
        </w:tc>
        <w:tc>
          <w:tcPr>
            <w:tcW w:w="27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Also becomes</w:t>
            </w:r>
          </w:p>
        </w:tc>
      </w:tr>
      <w:tr>
        <w:trPr/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Kinetic-caption system</w:t>
            </w:r>
          </w:p>
        </w:tc>
        <w:tc>
          <w:tcPr>
            <w:tcW w:w="4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Brand type with one accent weight for the key word; standard wipe/weight-shift ins.</w:t>
            </w:r>
          </w:p>
        </w:tc>
        <w:tc>
          <w:tcPr>
            <w:tcW w:w="27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look of every film.</w:t>
            </w:r>
          </w:p>
        </w:tc>
      </w:tr>
      <w:tr>
        <w:trPr/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Myth / Fact unit</w:t>
            </w:r>
          </w:p>
        </w:tc>
        <w:tc>
          <w:tcPr>
            <w:tcW w:w="4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Grey myth → warm-wipe fact pair.</w:t>
            </w:r>
          </w:p>
        </w:tc>
        <w:tc>
          <w:tcPr>
            <w:tcW w:w="27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standalone 30s cutdown for the Mother &amp; Aunty channel.</w:t>
            </w:r>
          </w:p>
        </w:tc>
      </w:tr>
      <w:tr>
        <w:trPr/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Count-up number system</w:t>
            </w:r>
          </w:p>
        </w:tc>
        <w:tc>
          <w:tcPr>
            <w:tcW w:w="4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animated big-figure style (100,000+, 675,000, 16.8m).</w:t>
            </w:r>
          </w:p>
        </w:tc>
        <w:tc>
          <w:tcPr>
            <w:tcW w:w="27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Reusable across data posts.</w:t>
            </w:r>
          </w:p>
        </w:tc>
      </w:tr>
      <w:tr>
        <w:trPr/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3-question card</w:t>
            </w:r>
          </w:p>
        </w:tc>
        <w:tc>
          <w:tcPr>
            <w:tcW w:w="4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Who’s saying it? · Are they qualified? · Do trusted sources agree?</w:t>
            </w:r>
          </w:p>
        </w:tc>
        <w:tc>
          <w:tcPr>
            <w:tcW w:w="27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standalone post and a printed job-aid.</w:t>
            </w:r>
          </w:p>
        </w:tc>
      </w:tr>
      <w:tr>
        <w:trPr/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end-card</w:t>
            </w:r>
          </w:p>
        </w:tc>
        <w:tc>
          <w:tcPr>
            <w:tcW w:w="4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Logo mark, handle, tagline — identical on all five.</w:t>
            </w:r>
          </w:p>
        </w:tc>
        <w:tc>
          <w:tcPr>
            <w:tcW w:w="27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recognition button across the toolkit.</w:t>
            </w:r>
          </w:p>
        </w:tc>
      </w:tr>
    </w:tbl>
    <w:p>
      <w:pPr>
        <w:pStyle w:val="Normal"/>
        <w:keepNext w:val="true"/>
        <w:spacing w:before="0" w:after="40"/>
        <w:rPr/>
      </w:pPr>
      <w:r>
        <w:br w:type="page"/>
      </w: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FOR THE QUOTE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How to price it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DF3EF"/>
              <w:left w:val="single" w:sz="28" w:space="0" w:color="2E6B4F"/>
              <w:bottom w:val="single" w:sz="2" w:space="0" w:color="EDF3EF"/>
              <w:right w:val="single" w:sz="2" w:space="0" w:color="EDF3EF"/>
            </w:tcBorders>
            <w:shd w:fill="EDF3E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2E6B4F"/>
                <w:spacing w:val="30"/>
                <w:sz w:val="14"/>
                <w:szCs w:val="14"/>
              </w:rPr>
              <w:t>ENTRY POINTS FOR YOUR ORGANISATION</w:t>
            </w:r>
            <w:r>
              <w:rPr>
                <w:rFonts w:eastAsia="Calibri" w:cs="Calibri"/>
                <w:b/>
                <w:bCs/>
                <w:color w:val="2E6B4F"/>
                <w:sz w:val="18"/>
                <w:szCs w:val="18"/>
              </w:rPr>
              <w:t xml:space="preserve">   ·   Two line items, not five films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2C3340"/>
                <w:sz w:val="21"/>
                <w:szCs w:val="21"/>
              </w:rPr>
              <w:t xml:space="preserve">One-time origination.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2C3340"/>
                <w:sz w:val="21"/>
                <w:szCs w:val="21"/>
              </w:rPr>
              <w:t>The ~22 poses (with blink variants), ~10 plates, ~9 motion loops, the icon set, and the five reusable templates. This is the bulk of the cost — and it is paid once for the whole slate.</w:t>
            </w:r>
          </w:p>
          <w:p>
            <w:pPr>
              <w:pStyle w:val="Normal"/>
              <w:spacing w:lineRule="exact" w:line="262" w:before="0" w:after="0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2C3340"/>
                <w:sz w:val="21"/>
                <w:szCs w:val="21"/>
              </w:rPr>
              <w:t xml:space="preserve">Per-film assembly.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2C3340"/>
                <w:sz w:val="21"/>
                <w:szCs w:val="21"/>
              </w:rPr>
              <w:t>For each of the five films: drop stills and plates onto the templates, time captions to the VO, add the one motion per beat, master 9:16 and export 1:1 / 16:9, then record EN / Kiswahili / Sheng VO over the finished picture. Light and repeatable.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Why this is the efficient buy.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A live-action or full-animation slate pays to originate every shot. Here the origination is a finite, shared library; the films are assembly on top of it — and every asset also feeds the wider toolkit (job-aids, posts, the Field Guide), so nothing is single-use.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>
          <w:rFonts w:eastAsia="Calibri" w:cs="Calibri"/>
          <w:i/>
          <w:iCs/>
          <w:color w:val="222B42"/>
          <w:sz w:val="19"/>
          <w:szCs w:val="19"/>
        </w:rPr>
        <w:t>Respectfully. Relentlessly. Together.</w:t>
      </w:r>
    </w:p>
    <w:p>
      <w:pPr>
        <w:pStyle w:val="Normal"/>
        <w:spacing w:before="40" w:after="0"/>
        <w:jc w:val="center"/>
        <w:rPr/>
      </w:pPr>
      <w:r>
        <w:rPr>
          <w:rFonts w:eastAsia="Calibri" w:cs="Calibri"/>
          <w:color w:val="8892B0"/>
          <w:sz w:val="15"/>
          <w:szCs w:val="15"/>
        </w:rPr>
        <w:t>Community Media Trust (CoMeT)  ·  imaarishasrhr.org  ·  cmt.kenya@gmail.com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0" w:right="1180" w:gutter="0" w:header="708" w:top="1180" w:footer="708" w:bottom="108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Illustrator Brief · Addendum · Kinetic &amp; Cinemagraph Slate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Illustrator Brief · Addendum · Kinetic &amp; Cinemagraph Slate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C3340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C3340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2026-09-16T22:17:29Z</dcterms:created>
  <dc:creator>Un-named</dc:creator>
  <dc:description/>
  <dc:language>en-US</dc:language>
  <cp:lastModifiedBy>Un-named</cp:lastModifiedBy>
  <dcterms:modified xsi:type="dcterms:W3CDTF">2026-09-16T22:17:29Z</dcterms:modified>
  <cp:revision>1</cp:revision>
  <dc:subject/>
  <dc:title/>
</cp:coreProperties>
</file>