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left"/>
        <w:tblInd w:w="0" w:type="dxa"/>
        <w:tblLayout w:type="fixed"/>
        <w:tblCellMar>
          <w:top w:w="520" w:type="dxa"/>
          <w:left w:w="360" w:type="dxa"/>
          <w:bottom w:w="520" w:type="dxa"/>
          <w:right w:w="3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fill="111827" w:val="clear"/>
          </w:tcPr>
          <w:p>
            <w:pPr>
              <w:pStyle w:val="Normal"/>
              <w:spacing w:before="0" w:after="200"/>
              <w:rPr/>
            </w:pPr>
            <w:r>
              <w:rPr>
                <w:rFonts w:eastAsia="Calibri" w:cs="Calibri"/>
                <w:b/>
                <w:bCs/>
                <w:color w:val="FFFFFF"/>
                <w:sz w:val="30"/>
                <w:szCs w:val="30"/>
              </w:rPr>
              <w:t>Imaarisha</w:t>
            </w:r>
            <w:r>
              <w:rPr>
                <w:rFonts w:eastAsia="Calibri" w:cs="Calibri"/>
                <w:b/>
                <w:bCs/>
                <w:color w:val="C6A15B"/>
                <w:sz w:val="30"/>
                <w:szCs w:val="30"/>
              </w:rPr>
              <w:t>SRHR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A15B"/>
                <w:spacing w:val="40"/>
                <w:sz w:val="18"/>
                <w:szCs w:val="18"/>
              </w:rPr>
              <w:t>PHASE 2 · MEDIA DEVELOPMENT · MASTER REFERENCES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Sources &amp;</w:t>
            </w:r>
          </w:p>
          <w:p>
            <w:pPr>
              <w:pStyle w:val="Normal"/>
              <w:spacing w:before="0" w:after="16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References</w:t>
            </w:r>
          </w:p>
          <w:p>
            <w:pPr>
              <w:pStyle w:val="Normal"/>
              <w:spacing w:before="0" w:after="220"/>
              <w:rPr/>
            </w:pPr>
            <w:r>
              <w:rPr>
                <w:rFonts w:eastAsia="Calibri" w:cs="Calibri"/>
                <w:color w:val="C9D1E0"/>
                <w:sz w:val="24"/>
                <w:szCs w:val="24"/>
              </w:rPr>
              <w:t>The consolidated, de-duplicated evidence base cited across the entire ImaarishaSRHR Phase 2 media suite — the field guide, the Mother &amp; Aunty curriculum, the video treatments, the podcast format and the illustrator brief.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Community Media Trust (CoMeT)  ·  July 2026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One master bibliography for the whole Phase 2 package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imaarishasrhr.org  ·  #ImaarishaSRHR · #AmplifyChange</w:t>
            </w:r>
          </w:p>
        </w:tc>
      </w:tr>
    </w:tbl>
    <w:p>
      <w:pPr>
        <w:pStyle w:val="Normal"/>
        <w:spacing w:before="0" w:after="14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i/>
          <w:iCs/>
          <w:color w:val="8892B0"/>
          <w:sz w:val="18"/>
          <w:szCs w:val="18"/>
        </w:rPr>
        <w:t>Grouped by theme and numbered continuously. Internal ImaarishaSRHR sources appear first.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MASTER BIBLIOGRAPHY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Sources across the Phase 2 suite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This list consolidates every source cited in the five Phase 2 documents. Survey, social-listening and focus-group figures throughout the suite come from the ImaarishaSRHR Phase 1 research (Group A); public and academic sources follow, grouped by theme. Where a document cites an internal figure, it is drawn from Group A even where a corroborating external source is also listed here.</w:t>
      </w:r>
    </w:p>
    <w:p>
      <w:pPr>
        <w:pStyle w:val="Heading2"/>
        <w:keepNext w:val="true"/>
        <w:spacing w:before="260" w:after="70"/>
        <w:rPr/>
      </w:pPr>
      <w:r>
        <w:rPr>
          <w:rFonts w:eastAsia="Calibri" w:cs="Calibri" w:ascii="Calibri" w:hAnsi="Calibri"/>
          <w:b/>
          <w:bCs/>
          <w:color w:val="222B42"/>
          <w:sz w:val="24"/>
          <w:szCs w:val="24"/>
        </w:rPr>
        <w:t>A · ImaarishaSRHR Phase 1 evidence base</w:t>
      </w:r>
    </w:p>
    <w:p>
      <w:pPr>
        <w:pStyle w:val="Normal"/>
        <w:spacing w:lineRule="exact" w:line="258" w:before="0" w:after="90"/>
        <w:rPr/>
      </w:pPr>
      <w:r>
        <w:rPr>
          <w:rFonts w:eastAsia="Calibri" w:cs="Calibri"/>
          <w:i/>
          <w:iCs/>
          <w:color w:val="8892B0"/>
          <w:sz w:val="18"/>
          <w:szCs w:val="18"/>
        </w:rPr>
        <w:t>The internal research foundation for the entire suite.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[1]  </w:t>
      </w:r>
      <w:r>
        <w:rPr>
          <w:rFonts w:eastAsia="Calibri" w:cs="Calibri"/>
          <w:color w:val="2C3340"/>
          <w:sz w:val="18"/>
          <w:szCs w:val="18"/>
        </w:rPr>
        <w:t>Community Media Trust (CoMeT), ImaarishaSRHR Phase 1 Insight Report — “Deconstructing Cultural &amp; Patriarchal Barriers to SRHR Access in Kenya,” July 2026.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[2]  </w:t>
      </w:r>
      <w:r>
        <w:rPr>
          <w:rFonts w:eastAsia="Calibri" w:cs="Calibri"/>
          <w:color w:val="2C3340"/>
          <w:sz w:val="18"/>
          <w:szCs w:val="18"/>
        </w:rPr>
        <w:t>CoMeT / ImaarishaSRHR, “Deconstructing Cultural &amp; Patriarchal Barriers to SRHR Access and Enjoyment in Kenya,” triangulated mixed-methods research report, March 2026.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[3]  </w:t>
      </w:r>
      <w:r>
        <w:rPr>
          <w:rFonts w:eastAsia="Calibri" w:cs="Calibri"/>
          <w:color w:val="2C3340"/>
          <w:sz w:val="18"/>
          <w:szCs w:val="18"/>
        </w:rPr>
        <w:t>TIFA Research, “How Patriarchy, Culture &amp; Disinformation Influence SRHR Access — Opinion Poll” (n=2,013, all 47 counties, ±2.18%, fieldwork 2–11 May 2026), 27 May 2026.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[4]  </w:t>
      </w:r>
      <w:r>
        <w:rPr>
          <w:rFonts w:eastAsia="Calibri" w:cs="Calibri"/>
          <w:color w:val="2C3340"/>
          <w:sz w:val="18"/>
          <w:szCs w:val="18"/>
        </w:rPr>
        <w:t>ImaarishaSRHR Social Listening dataset — 419,720 posts (Brandwatch + TikTok coding; 93% X/Twitter), Jul 2025–Feb 2026.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[5]  </w:t>
      </w:r>
      <w:r>
        <w:rPr>
          <w:rFonts w:eastAsia="Calibri" w:cs="Calibri"/>
          <w:color w:val="2C3340"/>
          <w:sz w:val="18"/>
          <w:szCs w:val="18"/>
        </w:rPr>
        <w:t>ImaarishaSRHR WhatsApp Focus Group Discussions — women 18–35, four sites (Nairobi middle-class, Nairobi informal settlements, Narok, Homa Bay), 2025–2026.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[6]  </w:t>
      </w:r>
      <w:r>
        <w:rPr>
          <w:rFonts w:eastAsia="Calibri" w:cs="Calibri"/>
          <w:color w:val="2C3340"/>
          <w:sz w:val="18"/>
          <w:szCs w:val="18"/>
        </w:rPr>
        <w:t>ImaarishaSRHR Stakeholders Forum — 25 practitioners from 10 organisations, Nairobi, 12–13 March 2026.</w:t>
      </w:r>
    </w:p>
    <w:p>
      <w:pPr>
        <w:pStyle w:val="Heading2"/>
        <w:keepNext w:val="true"/>
        <w:spacing w:before="260" w:after="70"/>
        <w:rPr/>
      </w:pPr>
      <w:r>
        <w:rPr>
          <w:rFonts w:eastAsia="Calibri" w:cs="Calibri" w:ascii="Calibri" w:hAnsi="Calibri"/>
          <w:b/>
          <w:bCs/>
          <w:color w:val="222B42"/>
          <w:sz w:val="24"/>
          <w:szCs w:val="24"/>
        </w:rPr>
        <w:t>B · Kenyan SRHR context, law &amp; epidemiology</w:t>
      </w:r>
    </w:p>
    <w:p>
      <w:pPr>
        <w:pStyle w:val="Normal"/>
        <w:spacing w:lineRule="exact" w:line="258" w:before="0" w:after="90"/>
        <w:rPr/>
      </w:pPr>
      <w:r>
        <w:rPr>
          <w:rFonts w:eastAsia="Calibri" w:cs="Calibri"/>
          <w:i/>
          <w:iCs/>
          <w:color w:val="8892B0"/>
          <w:sz w:val="18"/>
          <w:szCs w:val="18"/>
        </w:rPr>
        <w:t>National statistics, the legal environment and the policy record.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[7]  </w:t>
      </w:r>
      <w:r>
        <w:rPr>
          <w:rFonts w:eastAsia="Calibri" w:cs="Calibri"/>
          <w:color w:val="2C3340"/>
          <w:sz w:val="18"/>
          <w:szCs w:val="18"/>
        </w:rPr>
        <w:t>Kenya National Bureau of Statistics, Kenya Demographic and Health Survey (KDHS) 2022, Key Indicators Report.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https://dhsprogram.com/pubs/pdf/PR143/PR143.pdf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[8]  </w:t>
      </w:r>
      <w:r>
        <w:rPr>
          <w:rFonts w:eastAsia="Calibri" w:cs="Calibri"/>
          <w:color w:val="2C3340"/>
          <w:sz w:val="18"/>
          <w:szCs w:val="18"/>
        </w:rPr>
        <w:t>APHRC, “Unintended Pregnancies, Unsafe Abortion and Maternal Mortality in Kenya,” policy brief (drawing on KDHS and PMA data).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https://aphrc.org/publication/unintended-pregnancies-unsafe-abortion-and-maternal-mortality-in-kenya-2/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[9]  </w:t>
      </w:r>
      <w:r>
        <w:rPr>
          <w:rFonts w:eastAsia="Calibri" w:cs="Calibri"/>
          <w:color w:val="2C3340"/>
          <w:sz w:val="18"/>
          <w:szCs w:val="18"/>
        </w:rPr>
        <w:t>Center for Reproductive Rights, “Abortion in Kenya” (constitutional framework and case summaries: FIDA-Kenya v. AG 2019; PAK &amp; Salim Mohammed v. AG 2022).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https://reproductiverights.org/resources/kenya-abortion/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[10]  </w:t>
      </w:r>
      <w:r>
        <w:rPr>
          <w:rFonts w:eastAsia="Calibri" w:cs="Calibri"/>
          <w:color w:val="2C3340"/>
          <w:sz w:val="18"/>
          <w:szCs w:val="18"/>
        </w:rPr>
        <w:t>KELIN Kenya, “Legal Framework on Provision of Safe Abortion in Kenya”; and litigation on the ban of Marie Stopes Kenya.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https://www.kelinkenya.org/wp-content/uploads/2018/11/UPDATED-LEGAL-FRAMEWORK-ON-ABORTION.pdf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[11]  </w:t>
      </w:r>
      <w:r>
        <w:rPr>
          <w:rFonts w:eastAsia="Calibri" w:cs="Calibri"/>
          <w:color w:val="2C3340"/>
          <w:sz w:val="18"/>
          <w:szCs w:val="18"/>
        </w:rPr>
        <w:t>“Kenya’s Marie Stopes ban may drive more women to unsafe abortions,” The Conversation, 2018.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https://theconversation.com/kenyas-marie-stopes-ban-may-drive-more-women-to-unsafe-abortions-107911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[12]  </w:t>
      </w:r>
      <w:r>
        <w:rPr>
          <w:rFonts w:eastAsia="Calibri" w:cs="Calibri"/>
          <w:color w:val="2C3340"/>
          <w:sz w:val="18"/>
          <w:szCs w:val="18"/>
        </w:rPr>
        <w:t>Akoth C., Oguta J.O., Gatimu S.M., “Prevalence and factors associated with covert contraceptive use in Kenya: a cross-sectional study,” BMC Public Health 21:1316, 2021.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https://link.springer.com/article/10.1186/s12889-021-11375-7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[13]  </w:t>
      </w:r>
      <w:r>
        <w:rPr>
          <w:rFonts w:eastAsia="Calibri" w:cs="Calibri"/>
          <w:color w:val="2C3340"/>
          <w:sz w:val="18"/>
          <w:szCs w:val="18"/>
        </w:rPr>
        <w:t>Mutea L. et al., “Access to information and use of adolescent SRH services: qualitative exploration of barriers and facilitators in Kisumu and Kakamega, Kenya,” PLOS ONE 15(11):e0241985, 2020.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https://journals.plos.org/plosone/article?id=10.1371/journal.pone.0241985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[14]  </w:t>
      </w:r>
      <w:r>
        <w:rPr>
          <w:rFonts w:eastAsia="Calibri" w:cs="Calibri"/>
          <w:color w:val="2C3340"/>
          <w:sz w:val="18"/>
          <w:szCs w:val="18"/>
        </w:rPr>
        <w:t>“Socio-Ecological Analysis of Barriers to Access and Utilization of Adolescent SRH Services in Sub-Saharan Africa: A Qualitative Systematic Review,” PMC, 2023.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https://pmc.ncbi.nlm.nih.gov/articles/PMC10312343/</w:t>
      </w:r>
    </w:p>
    <w:p>
      <w:pPr>
        <w:pStyle w:val="Heading2"/>
        <w:keepNext w:val="true"/>
        <w:spacing w:before="260" w:after="70"/>
        <w:rPr/>
      </w:pPr>
      <w:r>
        <w:rPr>
          <w:rFonts w:eastAsia="Calibri" w:cs="Calibri" w:ascii="Calibri" w:hAnsi="Calibri"/>
          <w:b/>
          <w:bCs/>
          <w:color w:val="222B42"/>
          <w:sz w:val="24"/>
          <w:szCs w:val="24"/>
        </w:rPr>
        <w:t>C · Disinformation &amp; the infodemic</w:t>
      </w:r>
    </w:p>
    <w:p>
      <w:pPr>
        <w:pStyle w:val="Normal"/>
        <w:spacing w:lineRule="exact" w:line="258" w:before="0" w:after="90"/>
        <w:rPr/>
      </w:pPr>
      <w:r>
        <w:rPr>
          <w:rFonts w:eastAsia="Calibri" w:cs="Calibri"/>
          <w:i/>
          <w:iCs/>
          <w:color w:val="8892B0"/>
          <w:sz w:val="18"/>
          <w:szCs w:val="18"/>
        </w:rPr>
        <w:t>The mechanics of health misinformation and the science of countering it.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[15]  </w:t>
      </w:r>
      <w:r>
        <w:rPr>
          <w:rFonts w:eastAsia="Calibri" w:cs="Calibri"/>
          <w:color w:val="2C3340"/>
          <w:sz w:val="18"/>
          <w:szCs w:val="18"/>
        </w:rPr>
        <w:t>Lewandowsky S., Cook J. et al., “The Debunking Handbook 2020,” George Mason University / University of Bristol.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https://digitalcommons.unl.edu/context/scholcom/article/1247/viewcontent/DebunkingHandbook2020.pdf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[16]  </w:t>
      </w:r>
      <w:r>
        <w:rPr>
          <w:rFonts w:eastAsia="Calibri" w:cs="Calibri"/>
          <w:color w:val="2C3340"/>
          <w:sz w:val="18"/>
          <w:szCs w:val="18"/>
        </w:rPr>
        <w:t>Roozenbeek J., van der Linden S. et al., “Psychological inoculation improves resilience against misinformation on social media,” Science Advances 8(34), 2022.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https://www.science.org/doi/10.1126/sciadv.abo6254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[17]  </w:t>
      </w:r>
      <w:r>
        <w:rPr>
          <w:rFonts w:eastAsia="Calibri" w:cs="Calibri"/>
          <w:color w:val="2C3340"/>
          <w:sz w:val="18"/>
          <w:szCs w:val="18"/>
        </w:rPr>
        <w:t>“WHO, UNICEF deny Kenyan bishops’ claim that they supplied sterility-causing tetanus vaccines,” National Catholic Reporter, 2014.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https://www.ncronline.org/news/world/who-unicef-deny-kenyan-bishops-claim-they-supplied-sterility-causing-tetanus-vaccines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[18]  </w:t>
      </w:r>
      <w:r>
        <w:rPr>
          <w:rFonts w:eastAsia="Calibri" w:cs="Calibri"/>
          <w:color w:val="2C3340"/>
          <w:sz w:val="18"/>
          <w:szCs w:val="18"/>
        </w:rPr>
        <w:t>“Bishops in Kenya Renew Campaign against Comprehensive Sexuality Education,” ACI Africa, 2020.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https://www.aciafrica.org/news/1388/bishops-in-kenya-renew-campaign-against-comprehensive-sexuality-education-commitment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[19]  </w:t>
      </w:r>
      <w:r>
        <w:rPr>
          <w:rFonts w:eastAsia="Calibri" w:cs="Calibri"/>
          <w:color w:val="2C3340"/>
          <w:sz w:val="18"/>
          <w:szCs w:val="18"/>
        </w:rPr>
        <w:t>“Why the church opposes bid to introduce sex education,” The Standard.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https://www.standardmedia.co.ke/david-oginde/article/2001266642/why-the-church-opposes-bid-to-introduce-sex-education</w:t>
      </w:r>
    </w:p>
    <w:p>
      <w:pPr>
        <w:pStyle w:val="Heading2"/>
        <w:keepNext w:val="true"/>
        <w:spacing w:before="260" w:after="70"/>
        <w:rPr/>
      </w:pPr>
      <w:r>
        <w:rPr>
          <w:rFonts w:eastAsia="Calibri" w:cs="Calibri" w:ascii="Calibri" w:hAnsi="Calibri"/>
          <w:b/>
          <w:bCs/>
          <w:color w:val="222B42"/>
          <w:sz w:val="24"/>
          <w:szCs w:val="24"/>
        </w:rPr>
        <w:t>D · Social norms, gender &amp; intergenerational change</w:t>
      </w:r>
    </w:p>
    <w:p>
      <w:pPr>
        <w:pStyle w:val="Normal"/>
        <w:spacing w:lineRule="exact" w:line="258" w:before="0" w:after="90"/>
        <w:rPr/>
      </w:pPr>
      <w:r>
        <w:rPr>
          <w:rFonts w:eastAsia="Calibri" w:cs="Calibri"/>
          <w:i/>
          <w:iCs/>
          <w:color w:val="8892B0"/>
          <w:sz w:val="18"/>
          <w:szCs w:val="18"/>
        </w:rPr>
        <w:t>The theory and evidence behind the Mother &amp; Aunty frontier and the gender-transformative approach.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[20]  </w:t>
      </w:r>
      <w:r>
        <w:rPr>
          <w:rFonts w:eastAsia="Calibri" w:cs="Calibri"/>
          <w:color w:val="2C3340"/>
          <w:sz w:val="18"/>
          <w:szCs w:val="18"/>
        </w:rPr>
        <w:t>Bicchieri C., “Norms in the Wild: How to Diagnose, Measure, and Change Social Norms,” Oxford University Press, 2017.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[21]  </w:t>
      </w:r>
      <w:r>
        <w:rPr>
          <w:rFonts w:eastAsia="Calibri" w:cs="Calibri"/>
          <w:color w:val="2C3340"/>
          <w:sz w:val="18"/>
          <w:szCs w:val="18"/>
        </w:rPr>
        <w:t>Cialdini R.B., Reno R.R., Kallgren C.A., “A focus theory of normative conduct,” Journal of Personality and Social Psychology 58(6), 1990.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https://psycnet.apa.org/record/1990-30919-001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[22]  </w:t>
      </w:r>
      <w:r>
        <w:rPr>
          <w:rFonts w:eastAsia="Calibri" w:cs="Calibri"/>
          <w:color w:val="2C3340"/>
          <w:sz w:val="18"/>
          <w:szCs w:val="18"/>
        </w:rPr>
        <w:t>Institute for Reproductive Health, Georgetown University / Learning Collaborative to Advance Normative Change, “Social Norms Lexicon” and “Social Norms Atlas,” 2021.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https://www.irh.org/wp-content/uploads/2021/05/Social-Norms-Atlas.pdf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[23]  </w:t>
      </w:r>
      <w:r>
        <w:rPr>
          <w:rFonts w:eastAsia="Calibri" w:cs="Calibri"/>
          <w:color w:val="2C3340"/>
          <w:sz w:val="18"/>
          <w:szCs w:val="18"/>
        </w:rPr>
        <w:t>Bhan N. et al., “Mother-in-law’s Influence on FP Decision-Making and Contraceptive Use: A Review of Evidence,” Center on Gender Equity &amp; Health (UCSD) &amp; ICRW, 2022.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https://emerge.ucsd.edu/wp-content/uploads/2022/08/mil-brief_geh_geh_icrw.pdf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[24]  </w:t>
      </w:r>
      <w:r>
        <w:rPr>
          <w:rFonts w:eastAsia="Calibri" w:cs="Calibri"/>
          <w:color w:val="2C3340"/>
          <w:sz w:val="18"/>
          <w:szCs w:val="18"/>
        </w:rPr>
        <w:t>Aubel J., “Grandmothers — a neglected family resource for saving newborn lives,” BMJ Global Health 6:e003808, 2021.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https://pmc.ncbi.nlm.nih.gov/articles/PMC7887373/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[25]  </w:t>
      </w:r>
      <w:r>
        <w:rPr>
          <w:rFonts w:eastAsia="Calibri" w:cs="Calibri"/>
          <w:color w:val="2C3340"/>
          <w:sz w:val="18"/>
          <w:szCs w:val="18"/>
        </w:rPr>
        <w:t>Aubel J., “Grandmothers — a cultural resource for women and children’s health and well-being across the life cycle,” Global Health Promotion, 2024.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https://journals.sagepub.com/doi/10.1177/17579759231191494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[26]  </w:t>
      </w:r>
      <w:r>
        <w:rPr>
          <w:rFonts w:eastAsia="Calibri" w:cs="Calibri"/>
          <w:color w:val="2C3340"/>
          <w:sz w:val="18"/>
          <w:szCs w:val="18"/>
        </w:rPr>
        <w:t>Rogers E.M., “Diffusion of Innovations,” 5th ed., Free Press, 2003.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[27]  </w:t>
      </w:r>
      <w:r>
        <w:rPr>
          <w:rFonts w:eastAsia="Calibri" w:cs="Calibri"/>
          <w:color w:val="2C3340"/>
          <w:sz w:val="18"/>
          <w:szCs w:val="18"/>
        </w:rPr>
        <w:t>Interagency Gender Working Group (IGWG) / USAID, “The Gender Integration Continuum.”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https://www.igwg.org/wp-content/uploads/2017/05/FG_GendrIntegrContinuum.pdf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[28]  </w:t>
      </w:r>
      <w:r>
        <w:rPr>
          <w:rFonts w:eastAsia="Calibri" w:cs="Calibri"/>
          <w:color w:val="2C3340"/>
          <w:sz w:val="18"/>
          <w:szCs w:val="18"/>
        </w:rPr>
        <w:t>UNFPA, “Gender Responsive and/or Transformative Approaches,” thematic note.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https://www.unfpa.org/sites/default/files/admin-resource/thematic%20note%201_gender_final.pdf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[29]  </w:t>
      </w:r>
      <w:r>
        <w:rPr>
          <w:rFonts w:eastAsia="Calibri" w:cs="Calibri"/>
          <w:color w:val="2C3340"/>
          <w:sz w:val="18"/>
          <w:szCs w:val="18"/>
        </w:rPr>
        <w:t>The Challenge Initiative, “Intergenerational Dialogue” demand-generation curriculum.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https://tciurbanhealth.org/courses/nigeria-demand-generation/lessons/intergenerational-dialogue/</w:t>
      </w:r>
    </w:p>
    <w:p>
      <w:pPr>
        <w:pStyle w:val="Heading2"/>
        <w:keepNext w:val="true"/>
        <w:spacing w:before="260" w:after="70"/>
        <w:rPr/>
      </w:pPr>
      <w:r>
        <w:rPr>
          <w:rFonts w:eastAsia="Calibri" w:cs="Calibri" w:ascii="Calibri" w:hAnsi="Calibri"/>
          <w:b/>
          <w:bCs/>
          <w:color w:val="222B42"/>
          <w:sz w:val="24"/>
          <w:szCs w:val="24"/>
        </w:rPr>
        <w:t>E · Strategic communication, framing &amp; entertainment-education</w:t>
      </w:r>
    </w:p>
    <w:p>
      <w:pPr>
        <w:pStyle w:val="Normal"/>
        <w:spacing w:lineRule="exact" w:line="258" w:before="0" w:after="90"/>
        <w:rPr/>
      </w:pPr>
      <w:r>
        <w:rPr>
          <w:rFonts w:eastAsia="Calibri" w:cs="Calibri"/>
          <w:i/>
          <w:iCs/>
          <w:color w:val="8892B0"/>
          <w:sz w:val="18"/>
          <w:szCs w:val="18"/>
        </w:rPr>
        <w:t>Why values framing, trusted messengers and story-led media work.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[30]  </w:t>
      </w:r>
      <w:r>
        <w:rPr>
          <w:rFonts w:eastAsia="Calibri" w:cs="Calibri"/>
          <w:color w:val="2C3340"/>
          <w:sz w:val="18"/>
          <w:szCs w:val="18"/>
        </w:rPr>
        <w:t>FrameWorks Institute, “Framing 101” and strategic-framing research briefs.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https://www.frameworksinstitute.org/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[31]  </w:t>
      </w:r>
      <w:r>
        <w:rPr>
          <w:rFonts w:eastAsia="Calibri" w:cs="Calibri"/>
          <w:color w:val="2C3340"/>
          <w:sz w:val="18"/>
          <w:szCs w:val="18"/>
        </w:rPr>
        <w:t>Lakoff G., “Don’t Think of an Elephant! Know Your Values and Frame the Debate,” Chelsea Green, 2004.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[32]  </w:t>
      </w:r>
      <w:r>
        <w:rPr>
          <w:rFonts w:eastAsia="Calibri" w:cs="Calibri"/>
          <w:color w:val="2C3340"/>
          <w:sz w:val="18"/>
          <w:szCs w:val="18"/>
        </w:rPr>
        <w:t>Singhal A., Rogers E.M., “Entertainment-Education: A Communication Strategy for Social Change,” Routledge, 1999; Population Media Center, Sabido methodology.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https://www.populationmedia.org/the-sabido-methodology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[33]  </w:t>
      </w:r>
      <w:r>
        <w:rPr>
          <w:rFonts w:eastAsia="Calibri" w:cs="Calibri"/>
          <w:color w:val="2C3340"/>
          <w:sz w:val="18"/>
          <w:szCs w:val="18"/>
        </w:rPr>
        <w:t>Perrier M.-J., Martin Ginis K.A., “Changing health-promoting behaviours through narrative interventions: A systematic review,” Journal of Health Psychology, 2018.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https://journals.sagepub.com/doi/10.1177/1359105316656243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[34]  </w:t>
      </w:r>
      <w:r>
        <w:rPr>
          <w:rFonts w:eastAsia="Calibri" w:cs="Calibri"/>
          <w:color w:val="2C3340"/>
          <w:sz w:val="18"/>
          <w:szCs w:val="18"/>
        </w:rPr>
        <w:t>Dichter M.E. et al., “Survivor storytelling for social change,” Journal of Interpersonal Violence, 2022.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https://doi.org/10.1177/10778012211024267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[35]  </w:t>
      </w:r>
      <w:r>
        <w:rPr>
          <w:rFonts w:eastAsia="Calibri" w:cs="Calibri"/>
          <w:color w:val="2C3340"/>
          <w:sz w:val="18"/>
          <w:szCs w:val="18"/>
        </w:rPr>
        <w:t>Verizon Media / Publicis, “85% of Facebook video is watched without sound” (industry study on captioning), 2016.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https://digiday.com/media/silent-world-facebook-video/</w:t>
      </w:r>
    </w:p>
    <w:p>
      <w:pPr>
        <w:pStyle w:val="Heading2"/>
        <w:keepNext w:val="true"/>
        <w:spacing w:before="260" w:after="70"/>
        <w:rPr/>
      </w:pPr>
      <w:r>
        <w:rPr>
          <w:rFonts w:eastAsia="Calibri" w:cs="Calibri" w:ascii="Calibri" w:hAnsi="Calibri"/>
          <w:b/>
          <w:bCs/>
          <w:color w:val="222B42"/>
          <w:sz w:val="24"/>
          <w:szCs w:val="24"/>
        </w:rPr>
        <w:t>F · Proven programmes, messengers &amp; the digital landscape</w:t>
      </w:r>
    </w:p>
    <w:p>
      <w:pPr>
        <w:pStyle w:val="Normal"/>
        <w:spacing w:lineRule="exact" w:line="258" w:before="0" w:after="90"/>
        <w:rPr/>
      </w:pPr>
      <w:r>
        <w:rPr>
          <w:rFonts w:eastAsia="Calibri" w:cs="Calibri"/>
          <w:i/>
          <w:iCs/>
          <w:color w:val="8892B0"/>
          <w:sz w:val="18"/>
          <w:szCs w:val="18"/>
        </w:rPr>
        <w:t>The Kenyan “what works” evidence and the media environment.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[36]  </w:t>
      </w:r>
      <w:r>
        <w:rPr>
          <w:rFonts w:eastAsia="Calibri" w:cs="Calibri"/>
          <w:color w:val="2C3340"/>
          <w:sz w:val="18"/>
          <w:szCs w:val="18"/>
        </w:rPr>
        <w:t>Amref Health Africa, “Built from the Ground Up: How 107,000 Community Health Promoters Are Changing the Face of Health Care in Kenya,” 2025.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https://newsroom.amref.org/blog/2025/06/built-from-the-ground-up-how-107000-community-health-promoters-are-changing-the-face-of-health-care-in-kenya/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[37]  </w:t>
      </w:r>
      <w:r>
        <w:rPr>
          <w:rFonts w:eastAsia="Calibri" w:cs="Calibri"/>
          <w:color w:val="2C3340"/>
          <w:sz w:val="18"/>
          <w:szCs w:val="18"/>
        </w:rPr>
        <w:t>Stanback J. et al., “Community provision of injectable contraceptives in Kenya is safe and feasible,” Global Health: Science and Practice 1(3):308, 2013.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https://www.ghspjournal.org/content/1/3/308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[38]  </w:t>
      </w:r>
      <w:r>
        <w:rPr>
          <w:rFonts w:eastAsia="Calibri" w:cs="Calibri"/>
          <w:color w:val="2C3340"/>
          <w:sz w:val="18"/>
          <w:szCs w:val="18"/>
        </w:rPr>
        <w:t>Ruark A., Kishoyian G., Bormet M., Huber D., “Increasing Family Planning Access in Kenya Through Engagement of Faith-Based Health Facilities, Religious Leaders, and Community Health Volunteers,” Global Health: Science and Practice 7(3):478–490, 2019.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https://www.ghspjournal.org/content/7/3/478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[39]  </w:t>
      </w:r>
      <w:r>
        <w:rPr>
          <w:rFonts w:eastAsia="Calibri" w:cs="Calibri"/>
          <w:color w:val="2C3340"/>
          <w:sz w:val="18"/>
          <w:szCs w:val="18"/>
        </w:rPr>
        <w:t>Winston J. et al., “Longitudinal Evaluation of the Tupange Urban Family Planning Program in Kenya,” International Perspectives on Sexual and Reproductive Health, 2018.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https://www.guttmacher.org/journals/ipsrh/2017/11/longitudinal-evaluation-tupange-urban-family-planning-program-kenya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[40]  </w:t>
      </w:r>
      <w:r>
        <w:rPr>
          <w:rFonts w:eastAsia="Calibri" w:cs="Calibri"/>
          <w:color w:val="2C3340"/>
          <w:sz w:val="18"/>
          <w:szCs w:val="18"/>
        </w:rPr>
        <w:t>“Using radio programming to reach young adolescents with gender and sexual health information in a low-income urban setting in Kenya,” Reproductive Health, 2025.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https://link.springer.com/article/10.1186/s12978-025-01984-5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[41]  </w:t>
      </w:r>
      <w:r>
        <w:rPr>
          <w:rFonts w:eastAsia="Calibri" w:cs="Calibri"/>
          <w:color w:val="2C3340"/>
          <w:sz w:val="18"/>
          <w:szCs w:val="18"/>
        </w:rPr>
        <w:t>Birdthistle I. et al., “Evaluating the impact of DREAMS on HIV incidence among adolescent girls and young women: A population-based cohort study in Kenya,” PLOS Medicine 18(9):e1003837, 2021.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https://journals.plos.org/plosmedicine/article?id=10.1371/journal.pmed.1003837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[42]  </w:t>
      </w:r>
      <w:r>
        <w:rPr>
          <w:rFonts w:eastAsia="Calibri" w:cs="Calibri"/>
          <w:color w:val="2C3340"/>
          <w:sz w:val="18"/>
          <w:szCs w:val="18"/>
        </w:rPr>
        <w:t>Kimani et al., “Empowering youth for social change through the Shujaaz multimedia platform in Kenya,” International Journal of Adolescence and Youth, 2018.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https://www.tandfonline.com/doi/full/10.1080/02673843.2018.1475287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[43]  </w:t>
      </w:r>
      <w:r>
        <w:rPr>
          <w:rFonts w:eastAsia="Calibri" w:cs="Calibri"/>
          <w:color w:val="2C3340"/>
          <w:sz w:val="18"/>
          <w:szCs w:val="18"/>
        </w:rPr>
        <w:t>“Effectiveness of Peer-Led Education in Reducing HIV Transmission Among Urban Youths,” IDOSR Journal of Science and Technology, 2024.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https://www.idosr.org/wp-content/uploads/2024/11/IDOSR-JST-10314-18-2024.pdf</w:t>
      </w:r>
    </w:p>
    <w:p>
      <w:pPr>
        <w:pStyle w:val="Normal"/>
        <w:spacing w:lineRule="exact" w:line="250" w:before="0" w:after="66"/>
        <w:ind w:hanging="360" w:left="360"/>
        <w:rPr/>
      </w:pPr>
      <w:r>
        <w:rPr>
          <w:rFonts w:eastAsia="Calibri" w:cs="Calibri"/>
          <w:b/>
          <w:bCs/>
          <w:color w:val="A8863F"/>
          <w:sz w:val="18"/>
          <w:szCs w:val="18"/>
        </w:rPr>
        <w:t xml:space="preserve">[44]  </w:t>
      </w:r>
      <w:r>
        <w:rPr>
          <w:rFonts w:eastAsia="Calibri" w:cs="Calibri"/>
          <w:color w:val="2C3340"/>
          <w:sz w:val="18"/>
          <w:szCs w:val="18"/>
        </w:rPr>
        <w:t>DataReportal, “Digital 2025: Kenya,” Kepios / Meltwater / We Are Social, 2025.</w:t>
      </w:r>
      <w:r>
        <w:rPr>
          <w:rFonts w:eastAsia="Calibri" w:cs="Calibri"/>
          <w:i/>
          <w:iCs/>
          <w:color w:val="8892B0"/>
          <w:sz w:val="14"/>
          <w:szCs w:val="14"/>
        </w:rPr>
        <w:t xml:space="preserve">  https://datareportal.com/reports/digital-2025-kenya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F4F1EA"/>
              <w:left w:val="single" w:sz="28" w:space="0" w:color="C6A15B"/>
              <w:bottom w:val="single" w:sz="2" w:space="0" w:color="F4F1EA"/>
              <w:right w:val="single" w:sz="2" w:space="0" w:color="F4F1EA"/>
            </w:tcBorders>
            <w:shd w:fill="F4F1EA" w:val="clear"/>
          </w:tcPr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111827"/>
                <w:sz w:val="19"/>
                <w:szCs w:val="19"/>
              </w:rPr>
              <w:t xml:space="preserve">A note on verification. </w:t>
            </w:r>
            <w:r>
              <w:rPr>
                <w:rFonts w:eastAsia="Calibri" w:cs="Calibri"/>
                <w:color w:val="2C3340"/>
                <w:sz w:val="19"/>
                <w:szCs w:val="19"/>
              </w:rPr>
              <w:t>Internal figures (Group A) should be confirmed against the ImaarishaSRHR master dataset before publication. External links were live at the time of compilation (September 2026); confirm each before print or public release.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60" w:after="0"/>
        <w:jc w:val="center"/>
        <w:rPr/>
      </w:pPr>
      <w:r>
        <w:rPr>
          <w:rFonts w:eastAsia="Calibri" w:cs="Calibri"/>
          <w:color w:val="8892B0"/>
          <w:sz w:val="15"/>
          <w:szCs w:val="15"/>
        </w:rPr>
        <w:t>Community Media Trust (CoMeT)  ·  imaarishasrhr.org  ·  cmt.kenya@gmail.com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180" w:right="1180" w:gutter="0" w:header="708" w:top="1180" w:footer="708" w:bottom="108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Master References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Master References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C3340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C3340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2026-09-11T18:39:42Z</dcterms:created>
  <dc:creator>Un-named</dc:creator>
  <dc:description/>
  <dc:language>en-US</dc:language>
  <cp:lastModifiedBy>Un-named</cp:lastModifiedBy>
  <dcterms:modified xsi:type="dcterms:W3CDTF">2026-09-11T18:39:42Z</dcterms:modified>
  <cp:revision>1</cp:revision>
  <dc:subject/>
  <dc:title/>
</cp:coreProperties>
</file>