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left"/>
        <w:tblInd w:w="0" w:type="dxa"/>
        <w:tblLayout w:type="fixed"/>
        <w:tblCellMar>
          <w:top w:w="520" w:type="dxa"/>
          <w:left w:w="360" w:type="dxa"/>
          <w:bottom w:w="520" w:type="dxa"/>
          <w:right w:w="360" w:type="dxa"/>
        </w:tblCellMar>
      </w:tblPr>
      <w:tblGrid>
        <w:gridCol w:w="9360"/>
      </w:tblGrid>
      <w:tr>
        <w:trPr/>
        <w:tc>
          <w:tcPr>
            <w:tcW w:w="9360" w:type="dxa"/>
            <w:tcBorders>
              <w:top w:val="single" w:sz="4" w:space="0" w:color="111827"/>
              <w:left w:val="single" w:sz="4" w:space="0" w:color="111827"/>
              <w:bottom w:val="single" w:sz="4" w:space="0" w:color="111827"/>
              <w:right w:val="single" w:sz="4" w:space="0" w:color="111827"/>
            </w:tcBorders>
            <w:shd w:fill="111827" w:val="clear"/>
          </w:tcPr>
          <w:p>
            <w:pPr>
              <w:pStyle w:val="Normal"/>
              <w:spacing w:before="0" w:after="200"/>
              <w:rPr/>
            </w:pPr>
            <w:r>
              <w:rPr>
                <w:rFonts w:eastAsia="Calibri" w:cs="Calibri"/>
                <w:b/>
                <w:bCs/>
                <w:color w:val="FFFFFF"/>
                <w:sz w:val="30"/>
                <w:szCs w:val="30"/>
              </w:rPr>
              <w:t>Imaarisha</w:t>
            </w:r>
            <w:r>
              <w:rPr>
                <w:rFonts w:eastAsia="Calibri" w:cs="Calibri"/>
                <w:b/>
                <w:bCs/>
                <w:color w:val="C6A15B"/>
                <w:sz w:val="30"/>
                <w:szCs w:val="30"/>
              </w:rPr>
              <w:t>SRHR</w:t>
            </w:r>
          </w:p>
          <w:p>
            <w:pPr>
              <w:pStyle w:val="Normal"/>
              <w:spacing w:before="0" w:after="60"/>
              <w:rPr/>
            </w:pPr>
            <w:r>
              <w:rPr>
                <w:rFonts w:eastAsia="Calibri" w:cs="Calibri"/>
                <w:b/>
                <w:bCs/>
                <w:color w:val="C6A15B"/>
                <w:spacing w:val="40"/>
                <w:sz w:val="18"/>
                <w:szCs w:val="18"/>
              </w:rPr>
              <w:t>PHASE 2 · MEDIA DEVELOPMENT · COMPANION CURRICULUM</w:t>
            </w:r>
          </w:p>
          <w:p>
            <w:pPr>
              <w:pStyle w:val="Normal"/>
              <w:spacing w:before="0" w:after="20"/>
              <w:rPr/>
            </w:pPr>
            <w:r>
              <w:rPr>
                <w:rFonts w:eastAsia="Calibri" w:cs="Calibri"/>
                <w:b/>
                <w:bCs/>
                <w:color w:val="FFFFFF"/>
                <w:sz w:val="46"/>
                <w:szCs w:val="46"/>
              </w:rPr>
              <w:t>The Mother &amp;</w:t>
            </w:r>
          </w:p>
          <w:p>
            <w:pPr>
              <w:pStyle w:val="Normal"/>
              <w:spacing w:before="0" w:after="160"/>
              <w:rPr/>
            </w:pPr>
            <w:r>
              <w:rPr>
                <w:rFonts w:eastAsia="Calibri" w:cs="Calibri"/>
                <w:b/>
                <w:bCs/>
                <w:color w:val="FFFFFF"/>
                <w:sz w:val="46"/>
                <w:szCs w:val="46"/>
              </w:rPr>
              <w:t>Aunty Curriculum</w:t>
            </w:r>
          </w:p>
          <w:p>
            <w:pPr>
              <w:pStyle w:val="Normal"/>
              <w:spacing w:before="0" w:after="220"/>
              <w:rPr/>
            </w:pPr>
            <w:r>
              <w:rPr>
                <w:rFonts w:eastAsia="Calibri" w:cs="Calibri"/>
                <w:color w:val="C9D1E0"/>
                <w:sz w:val="24"/>
                <w:szCs w:val="24"/>
              </w:rPr>
              <w:t>A facilitator’s curriculum for turning older women from gatekeepers of harmful SRHR norms into champions of their daughters’ health — how patriarchy, culture and disinformation pass down the generations, and how to interrupt that transfer respectfully and effectively.</w:t>
            </w:r>
          </w:p>
          <w:p>
            <w:pPr>
              <w:pStyle w:val="Normal"/>
              <w:spacing w:before="0" w:after="40"/>
              <w:rPr/>
            </w:pPr>
            <w:r>
              <w:rPr>
                <w:rFonts w:eastAsia="Calibri" w:cs="Calibri"/>
                <w:color w:val="8892B0"/>
                <w:sz w:val="18"/>
                <w:szCs w:val="18"/>
              </w:rPr>
              <w:t>Community Media Trust (CoMeT)  ·  July 2026</w:t>
            </w:r>
          </w:p>
          <w:p>
            <w:pPr>
              <w:pStyle w:val="Normal"/>
              <w:spacing w:before="0" w:after="40"/>
              <w:rPr/>
            </w:pPr>
            <w:r>
              <w:rPr>
                <w:rFonts w:eastAsia="Calibri" w:cs="Calibri"/>
                <w:color w:val="8892B0"/>
                <w:sz w:val="18"/>
                <w:szCs w:val="18"/>
              </w:rPr>
              <w:t>Companion to the Strategic Comms &amp; Reframing SRHR field guide</w:t>
            </w:r>
          </w:p>
          <w:p>
            <w:pPr>
              <w:pStyle w:val="Normal"/>
              <w:spacing w:before="0" w:after="40"/>
              <w:rPr/>
            </w:pPr>
            <w:r>
              <w:rPr>
                <w:rFonts w:eastAsia="Calibri" w:cs="Calibri"/>
                <w:color w:val="8892B0"/>
                <w:sz w:val="18"/>
                <w:szCs w:val="18"/>
              </w:rPr>
              <w:t>imaarishasrhr.org  ·  #ImaarishaSRHR · #AmplifyChange</w:t>
            </w:r>
          </w:p>
        </w:tc>
      </w:tr>
    </w:tbl>
    <w:p>
      <w:pPr>
        <w:pStyle w:val="Normal"/>
        <w:spacing w:before="0" w:after="120"/>
        <w:rPr/>
      </w:pPr>
      <w:r>
        <w:rPr/>
      </w:r>
    </w:p>
    <w:p>
      <w:pPr>
        <w:pStyle w:val="Normal"/>
        <w:spacing w:lineRule="exact" w:line="264" w:before="0" w:after="120"/>
        <w:jc w:val="center"/>
        <w:rPr/>
      </w:pPr>
      <w:r>
        <w:rPr>
          <w:rFonts w:eastAsia="Calibri" w:cs="Calibri"/>
          <w:i/>
          <w:iCs/>
          <w:color w:val="8892B0"/>
          <w:sz w:val="18"/>
          <w:szCs w:val="18"/>
        </w:rPr>
        <w:t>Built around Beth — a composite Kenyan aunty from the Phase 1 research. Every figure and case is sourced; bracketed numbers [n] refer to the Sources list.</w:t>
      </w:r>
      <w:r>
        <w:br w:type="page"/>
      </w:r>
    </w:p>
    <w:p>
      <w:pPr>
        <w:pStyle w:val="Normal"/>
        <w:keepNext w:val="true"/>
        <w:spacing w:before="0" w:after="40"/>
        <w:rPr/>
      </w:pPr>
      <w:r>
        <w:rPr>
          <w:rFonts w:eastAsia="Calibri" w:cs="Calibri"/>
          <w:b/>
          <w:bCs/>
          <w:color w:val="C6A15B"/>
          <w:spacing w:val="30"/>
          <w:sz w:val="16"/>
          <w:szCs w:val="16"/>
        </w:rPr>
        <w:t>WHY THIS CURRICULUM</w:t>
      </w:r>
    </w:p>
    <w:p>
      <w:pPr>
        <w:pStyle w:val="Heading1"/>
        <w:keepNext w:val="true"/>
        <w:pBdr>
          <w:bottom w:val="single" w:sz="12" w:space="6" w:color="C6A15B"/>
        </w:pBdr>
        <w:spacing w:before="320" w:after="140"/>
        <w:rPr/>
      </w:pPr>
      <w:r>
        <w:rPr>
          <w:rFonts w:eastAsia="Calibri" w:cs="Calibri" w:ascii="Calibri" w:hAnsi="Calibri"/>
          <w:b/>
          <w:bCs/>
          <w:color w:val="111827"/>
          <w:sz w:val="30"/>
          <w:szCs w:val="30"/>
        </w:rPr>
        <w:t>The highest-leverage room in Kenyan SRHR</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FBF1E9"/>
              <w:left w:val="single" w:sz="28" w:space="0" w:color="C8703A"/>
              <w:bottom w:val="single" w:sz="2" w:space="0" w:color="FBF1E9"/>
              <w:right w:val="single" w:sz="2" w:space="0" w:color="FBF1E9"/>
            </w:tcBorders>
            <w:shd w:fill="FBF1E9" w:val="clear"/>
          </w:tcPr>
          <w:p>
            <w:pPr>
              <w:pStyle w:val="Normal"/>
              <w:spacing w:before="0" w:after="70"/>
              <w:rPr/>
            </w:pPr>
            <w:r>
              <w:rPr>
                <w:rFonts w:eastAsia="Calibri" w:cs="Calibri"/>
                <w:b/>
                <w:bCs/>
                <w:color w:val="A85A32"/>
                <w:spacing w:val="34"/>
                <w:sz w:val="15"/>
                <w:szCs w:val="15"/>
              </w:rPr>
              <w:t>THE STORY</w:t>
            </w:r>
            <w:r>
              <w:rPr>
                <w:rFonts w:eastAsia="Calibri" w:cs="Calibri"/>
                <w:b/>
                <w:bCs/>
                <w:color w:val="111827"/>
                <w:sz w:val="20"/>
                <w:szCs w:val="20"/>
              </w:rPr>
              <w:t xml:space="preserve">   ·   Meet Beth</w:t>
            </w:r>
          </w:p>
          <w:p>
            <w:pPr>
              <w:pStyle w:val="Normal"/>
              <w:spacing w:lineRule="exact" w:line="270" w:before="0" w:after="80"/>
              <w:rPr/>
            </w:pPr>
            <w:r>
              <w:rPr>
                <w:rFonts w:eastAsia="Calibri" w:cs="Calibri"/>
                <w:color w:val="2C3340"/>
                <w:sz w:val="20"/>
                <w:szCs w:val="20"/>
              </w:rPr>
              <w:t>Beth is fifty-two. She raised three of her own children and half-raised her brother’s. She runs the family kitchen, admins the “Achieng Family” WhatsApp group, and is the first person her seventeen-year-old niece Agneta comes to when she is frightened. When Beth speaks about a young woman’s body, the family listens — more than they listen to any teacher, nurse or poster.</w:t>
            </w:r>
          </w:p>
          <w:p>
            <w:pPr>
              <w:pStyle w:val="Normal"/>
              <w:spacing w:lineRule="exact" w:line="270" w:before="0" w:after="0"/>
              <w:rPr/>
            </w:pPr>
            <w:r>
              <w:rPr>
                <w:rFonts w:eastAsia="Calibri" w:cs="Calibri"/>
                <w:color w:val="2C3340"/>
                <w:sz w:val="20"/>
                <w:szCs w:val="20"/>
              </w:rPr>
              <w:t>That is exactly why Beth matters. She is not a barrier to go around; she is the most trusted messenger in Agneta’s life. Today she passes on warnings that harm — “family planning will make you barren,” “marry by twenty” — not from malice but from love, carrying what she herself received as truth. This curriculum is about one thing: helping the Beths of Kenya carry accurate love instead. When Beth changes, she does not change one girl. She changes every girl who ever helps her cook.</w:t>
            </w:r>
          </w:p>
        </w:tc>
      </w:tr>
    </w:tbl>
    <w:p>
      <w:pPr>
        <w:pStyle w:val="Normal"/>
        <w:spacing w:before="0" w:after="140"/>
        <w:rPr/>
      </w:pPr>
      <w:r>
        <w:rPr/>
      </w:r>
    </w:p>
    <w:p>
      <w:pPr>
        <w:pStyle w:val="Normal"/>
        <w:spacing w:lineRule="exact" w:line="268" w:before="0" w:after="120"/>
        <w:rPr/>
      </w:pPr>
      <w:r>
        <w:rPr>
          <w:rFonts w:eastAsia="Calibri" w:cs="Calibri"/>
          <w:color w:val="2C3340"/>
          <w:sz w:val="21"/>
          <w:szCs w:val="21"/>
        </w:rPr>
        <w:t>The Phase 1 research names older women as Phase 2’s single highest-leverage intervention point. 67% of Kenyans say older women shape younger women’s confidence to make SRHR decisions; 64% say they enforce traditional norms; 60% say they decide whether a young woman seeks services openly or in secret. No campaign, clinic or poster reaches into a young woman’s life with that authority. The channel that carries the harm is also the only channel powerful enough to carry the correction.</w:t>
      </w:r>
      <w:r>
        <w:rPr>
          <w:rFonts w:eastAsia="Calibri" w:cs="Calibri"/>
          <w:b/>
          <w:bCs/>
          <w:color w:val="A8863F"/>
          <w:sz w:val="13"/>
          <w:szCs w:val="13"/>
          <w:vertAlign w:val="superscript"/>
        </w:rPr>
        <w:t xml:space="preserve"> [2,1]</w:t>
      </w:r>
    </w:p>
    <w:tbl>
      <w:tblPr>
        <w:tblW w:w="9360" w:type="dxa"/>
        <w:jc w:val="left"/>
        <w:tblInd w:w="0" w:type="dxa"/>
        <w:tblLayout w:type="fixed"/>
        <w:tblCellMar>
          <w:top w:w="130" w:type="dxa"/>
          <w:left w:w="120" w:type="dxa"/>
          <w:bottom w:w="130" w:type="dxa"/>
          <w:right w:w="120" w:type="dxa"/>
        </w:tblCellMar>
      </w:tblPr>
      <w:tblGrid>
        <w:gridCol w:w="3120"/>
        <w:gridCol w:w="3120"/>
        <w:gridCol w:w="3120"/>
      </w:tblGrid>
      <w:tr>
        <w:trPr/>
        <w:tc>
          <w:tcPr>
            <w:tcW w:w="3120" w:type="dxa"/>
            <w:tcBorders>
              <w:top w:val="single" w:sz="8" w:space="0" w:color="FFFFFF"/>
              <w:left w:val="single" w:sz="8" w:space="0" w:color="FFFFFF"/>
              <w:bottom w:val="single" w:sz="8" w:space="0" w:color="FFFFFF"/>
              <w:right w:val="single" w:sz="8" w:space="0" w:color="FFFFFF"/>
            </w:tcBorders>
            <w:shd w:fill="1A2035" w:val="clear"/>
          </w:tcPr>
          <w:p>
            <w:pPr>
              <w:pStyle w:val="Normal"/>
              <w:spacing w:before="0" w:after="20"/>
              <w:jc w:val="center"/>
              <w:rPr/>
            </w:pPr>
            <w:r>
              <w:rPr>
                <w:rFonts w:eastAsia="Calibri" w:cs="Calibri"/>
                <w:b/>
                <w:bCs/>
                <w:color w:val="C6A15B"/>
                <w:sz w:val="40"/>
                <w:szCs w:val="40"/>
              </w:rPr>
              <w:t>67%</w:t>
            </w:r>
          </w:p>
          <w:p>
            <w:pPr>
              <w:pStyle w:val="Normal"/>
              <w:spacing w:before="0" w:after="0"/>
              <w:jc w:val="center"/>
              <w:rPr/>
            </w:pPr>
            <w:r>
              <w:rPr>
                <w:rFonts w:eastAsia="Calibri" w:cs="Calibri"/>
                <w:color w:val="C9D1E0"/>
                <w:sz w:val="16"/>
                <w:szCs w:val="16"/>
              </w:rPr>
              <w:t>older women shape younger women’s SRHR confidence</w:t>
            </w:r>
          </w:p>
        </w:tc>
        <w:tc>
          <w:tcPr>
            <w:tcW w:w="3120" w:type="dxa"/>
            <w:tcBorders>
              <w:top w:val="single" w:sz="8" w:space="0" w:color="FFFFFF"/>
              <w:left w:val="single" w:sz="8" w:space="0" w:color="FFFFFF"/>
              <w:bottom w:val="single" w:sz="8" w:space="0" w:color="FFFFFF"/>
              <w:right w:val="single" w:sz="8" w:space="0" w:color="FFFFFF"/>
            </w:tcBorders>
            <w:shd w:fill="1A2035" w:val="clear"/>
          </w:tcPr>
          <w:p>
            <w:pPr>
              <w:pStyle w:val="Normal"/>
              <w:spacing w:before="0" w:after="20"/>
              <w:jc w:val="center"/>
              <w:rPr/>
            </w:pPr>
            <w:r>
              <w:rPr>
                <w:rFonts w:eastAsia="Calibri" w:cs="Calibri"/>
                <w:b/>
                <w:bCs/>
                <w:color w:val="C6A15B"/>
                <w:sz w:val="40"/>
                <w:szCs w:val="40"/>
              </w:rPr>
              <w:t>64%</w:t>
            </w:r>
          </w:p>
          <w:p>
            <w:pPr>
              <w:pStyle w:val="Normal"/>
              <w:spacing w:before="0" w:after="0"/>
              <w:jc w:val="center"/>
              <w:rPr/>
            </w:pPr>
            <w:r>
              <w:rPr>
                <w:rFonts w:eastAsia="Calibri" w:cs="Calibri"/>
                <w:color w:val="C9D1E0"/>
                <w:sz w:val="16"/>
                <w:szCs w:val="16"/>
              </w:rPr>
              <w:t>older women enforce traditional norms</w:t>
            </w:r>
          </w:p>
        </w:tc>
        <w:tc>
          <w:tcPr>
            <w:tcW w:w="3120" w:type="dxa"/>
            <w:tcBorders>
              <w:top w:val="single" w:sz="8" w:space="0" w:color="FFFFFF"/>
              <w:left w:val="single" w:sz="8" w:space="0" w:color="FFFFFF"/>
              <w:bottom w:val="single" w:sz="8" w:space="0" w:color="FFFFFF"/>
              <w:right w:val="single" w:sz="8" w:space="0" w:color="FFFFFF"/>
            </w:tcBorders>
            <w:shd w:fill="1A2035" w:val="clear"/>
          </w:tcPr>
          <w:p>
            <w:pPr>
              <w:pStyle w:val="Normal"/>
              <w:spacing w:before="0" w:after="20"/>
              <w:jc w:val="center"/>
              <w:rPr/>
            </w:pPr>
            <w:r>
              <w:rPr>
                <w:rFonts w:eastAsia="Calibri" w:cs="Calibri"/>
                <w:b/>
                <w:bCs/>
                <w:color w:val="C6A15B"/>
                <w:sz w:val="40"/>
                <w:szCs w:val="40"/>
              </w:rPr>
              <w:t>60%</w:t>
            </w:r>
          </w:p>
          <w:p>
            <w:pPr>
              <w:pStyle w:val="Normal"/>
              <w:spacing w:before="0" w:after="0"/>
              <w:jc w:val="center"/>
              <w:rPr/>
            </w:pPr>
            <w:r>
              <w:rPr>
                <w:rFonts w:eastAsia="Calibri" w:cs="Calibri"/>
                <w:color w:val="C9D1E0"/>
                <w:sz w:val="16"/>
                <w:szCs w:val="16"/>
              </w:rPr>
              <w:t>they decide open vs secret service-seeking</w:t>
            </w:r>
          </w:p>
        </w:tc>
      </w:tr>
    </w:tbl>
    <w:p>
      <w:pPr>
        <w:pStyle w:val="Normal"/>
        <w:spacing w:before="0" w:after="40"/>
        <w:rPr/>
      </w:pPr>
      <w:r>
        <w:rPr/>
      </w:r>
    </w:p>
    <w:p>
      <w:pPr>
        <w:pStyle w:val="Normal"/>
        <w:spacing w:lineRule="exact" w:line="250" w:before="0" w:after="130"/>
        <w:rPr/>
      </w:pPr>
      <w:r>
        <w:rPr>
          <w:rFonts w:eastAsia="Calibri" w:cs="Calibri"/>
          <w:i/>
          <w:iCs/>
          <w:color w:val="8892B0"/>
          <w:sz w:val="15"/>
          <w:szCs w:val="15"/>
        </w:rPr>
        <w:t>Older-women influence: TIFA opinion poll</w:t>
      </w:r>
      <w:r>
        <w:rPr>
          <w:rFonts w:eastAsia="Calibri" w:cs="Calibri"/>
          <w:b/>
          <w:bCs/>
          <w:color w:val="A8863F"/>
          <w:sz w:val="13"/>
          <w:szCs w:val="13"/>
          <w:vertAlign w:val="superscript"/>
        </w:rPr>
        <w:t xml:space="preserve"> [2]</w:t>
      </w:r>
      <w:r>
        <w:rPr>
          <w:rFonts w:eastAsia="Calibri" w:cs="Calibri"/>
          <w:i/>
          <w:iCs/>
          <w:color w:val="8892B0"/>
          <w:sz w:val="15"/>
          <w:szCs w:val="15"/>
        </w:rPr>
        <w:t>.</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EAF1F6"/>
              <w:left w:val="single" w:sz="28" w:space="0" w:color="3C6E8F"/>
              <w:bottom w:val="single" w:sz="2" w:space="0" w:color="EAF1F6"/>
              <w:right w:val="single" w:sz="2" w:space="0" w:color="EAF1F6"/>
            </w:tcBorders>
            <w:shd w:fill="EAF1F6" w:val="clear"/>
          </w:tcPr>
          <w:p>
            <w:pPr>
              <w:pStyle w:val="Normal"/>
              <w:spacing w:before="0" w:after="70"/>
              <w:rPr/>
            </w:pPr>
            <w:r>
              <w:rPr>
                <w:rFonts w:eastAsia="Calibri" w:cs="Calibri"/>
                <w:b/>
                <w:bCs/>
                <w:color w:val="3C6E8F"/>
                <w:spacing w:val="36"/>
                <w:sz w:val="15"/>
                <w:szCs w:val="15"/>
              </w:rPr>
              <w:t>FRAMEWORK</w:t>
            </w:r>
            <w:r>
              <w:rPr>
                <w:rFonts w:eastAsia="Calibri" w:cs="Calibri"/>
                <w:b/>
                <w:bCs/>
                <w:color w:val="222B42"/>
                <w:sz w:val="20"/>
                <w:szCs w:val="20"/>
              </w:rPr>
              <w:t xml:space="preserve">   ·   The gatekeeper–champion thesis (S5)</w:t>
            </w:r>
          </w:p>
          <w:p>
            <w:pPr>
              <w:pStyle w:val="Normal"/>
              <w:spacing w:lineRule="exact" w:line="266" w:before="0" w:after="0"/>
              <w:rPr/>
            </w:pPr>
            <w:r>
              <w:rPr>
                <w:rFonts w:eastAsia="Calibri" w:cs="Calibri"/>
                <w:b w:val="false"/>
                <w:bCs w:val="false"/>
                <w:i w:val="false"/>
                <w:iCs w:val="false"/>
                <w:color w:val="2C3340"/>
                <w:sz w:val="21"/>
                <w:szCs w:val="21"/>
              </w:rPr>
              <w:t xml:space="preserve">The strategy of this curriculum rests on one evidence-backed idea: older women are </w:t>
            </w:r>
            <w:r>
              <w:rPr>
                <w:rFonts w:eastAsia="Calibri" w:cs="Calibri"/>
                <w:b/>
                <w:bCs/>
                <w:i w:val="false"/>
                <w:iCs w:val="false"/>
                <w:color w:val="2C3340"/>
                <w:sz w:val="21"/>
                <w:szCs w:val="21"/>
              </w:rPr>
              <w:t>not a fixed obstacle — they are a strategic audience</w:t>
            </w:r>
            <w:r>
              <w:rPr>
                <w:rFonts w:eastAsia="Calibri" w:cs="Calibri"/>
                <w:b w:val="false"/>
                <w:bCs w:val="false"/>
                <w:i w:val="false"/>
                <w:iCs w:val="false"/>
                <w:color w:val="2C3340"/>
                <w:sz w:val="21"/>
                <w:szCs w:val="21"/>
              </w:rPr>
              <w:t>. The Grandmother Project’s work across West Africa shows that when older women are engaged with respect for their cultural role and given accurate information within it, they move from enforcers of harmful norms to their most powerful reformers. The same authority that once defended a practice can be turned to defend a girl’s health.</w:t>
            </w:r>
            <w:r>
              <w:rPr>
                <w:rFonts w:eastAsia="Calibri" w:cs="Calibri"/>
                <w:b/>
                <w:bCs/>
                <w:color w:val="A8863F"/>
                <w:sz w:val="13"/>
                <w:szCs w:val="13"/>
                <w:vertAlign w:val="superscript"/>
              </w:rPr>
              <w:t xml:space="preserve"> [5,6,1]</w:t>
            </w:r>
          </w:p>
        </w:tc>
      </w:tr>
    </w:tbl>
    <w:p>
      <w:pPr>
        <w:pStyle w:val="Normal"/>
        <w:spacing w:before="0" w:after="150"/>
        <w:rPr/>
      </w:pPr>
      <w:r>
        <w:rPr/>
      </w:r>
    </w:p>
    <w:p>
      <w:pPr>
        <w:pStyle w:val="Heading2"/>
        <w:keepNext w:val="true"/>
        <w:spacing w:before="240" w:after="100"/>
        <w:rPr/>
      </w:pPr>
      <w:r>
        <w:rPr>
          <w:rFonts w:eastAsia="Calibri" w:cs="Calibri" w:ascii="Calibri" w:hAnsi="Calibri"/>
          <w:b/>
          <w:bCs/>
          <w:color w:val="222B42"/>
          <w:sz w:val="25"/>
          <w:szCs w:val="25"/>
        </w:rPr>
        <w:t>Who this curriculum is for</w:t>
      </w:r>
    </w:p>
    <w:p>
      <w:pPr>
        <w:pStyle w:val="Normal"/>
        <w:spacing w:lineRule="exact" w:line="268" w:before="0" w:after="120"/>
        <w:rPr/>
      </w:pPr>
      <w:r>
        <w:rPr>
          <w:rFonts w:eastAsia="Calibri" w:cs="Calibri"/>
          <w:color w:val="2C3340"/>
          <w:sz w:val="21"/>
          <w:szCs w:val="21"/>
        </w:rPr>
        <w:t>It is written for facilitators — community health promoters, peer educators, programme officers, faith and community mobilisers — who will convene and walk groups of older women (and, in places, older and younger women together) through a change process. It assumes no prior training in social-norms theory; the theory is built in as you go. It is designed to be run over five core sessions, weekly or fortnightly, with follow-up.</w:t>
      </w:r>
      <w:r>
        <w:rPr>
          <w:rFonts w:eastAsia="Calibri" w:cs="Calibri"/>
          <w:b/>
          <w:bCs/>
          <w:color w:val="A8863F"/>
          <w:sz w:val="13"/>
          <w:szCs w:val="13"/>
          <w:vertAlign w:val="superscript"/>
        </w:rPr>
        <w:t xml:space="preserve"> [1]</w:t>
      </w:r>
      <w:r>
        <w:br w:type="page"/>
      </w:r>
    </w:p>
    <w:p>
      <w:pPr>
        <w:pStyle w:val="Normal"/>
        <w:keepNext w:val="true"/>
        <w:spacing w:before="0" w:after="40"/>
        <w:rPr/>
      </w:pPr>
      <w:r>
        <w:rPr>
          <w:rFonts w:eastAsia="Calibri" w:cs="Calibri"/>
          <w:b/>
          <w:bCs/>
          <w:color w:val="C6A15B"/>
          <w:spacing w:val="30"/>
          <w:sz w:val="16"/>
          <w:szCs w:val="16"/>
        </w:rPr>
        <w:t>PART A</w:t>
      </w:r>
    </w:p>
    <w:p>
      <w:pPr>
        <w:pStyle w:val="Heading1"/>
        <w:keepNext w:val="true"/>
        <w:pBdr>
          <w:bottom w:val="single" w:sz="12" w:space="6" w:color="C6A15B"/>
        </w:pBdr>
        <w:spacing w:before="320" w:after="140"/>
        <w:rPr/>
      </w:pPr>
      <w:r>
        <w:rPr>
          <w:rFonts w:eastAsia="Calibri" w:cs="Calibri" w:ascii="Calibri" w:hAnsi="Calibri"/>
          <w:b/>
          <w:bCs/>
          <w:color w:val="111827"/>
          <w:sz w:val="30"/>
          <w:szCs w:val="30"/>
        </w:rPr>
        <w:t>How the transfer works</w:t>
      </w:r>
    </w:p>
    <w:p>
      <w:pPr>
        <w:pStyle w:val="Normal"/>
        <w:spacing w:lineRule="exact" w:line="268" w:before="0" w:after="120"/>
        <w:rPr/>
      </w:pPr>
      <w:r>
        <w:rPr>
          <w:rFonts w:eastAsia="Calibri" w:cs="Calibri"/>
          <w:color w:val="2C3340"/>
          <w:sz w:val="21"/>
          <w:szCs w:val="21"/>
        </w:rPr>
        <w:t>Before you can interrupt the transfer of harmful norms, you have to see it clearly: what is passed down, through which channels, and why it is so hard to counter. This is the diagnostic half of the curriculum — the map facilitators carry in their heads.</w:t>
      </w:r>
      <w:r>
        <w:rPr>
          <w:rFonts w:eastAsia="Calibri" w:cs="Calibri"/>
          <w:b/>
          <w:bCs/>
          <w:color w:val="A8863F"/>
          <w:sz w:val="13"/>
          <w:szCs w:val="13"/>
          <w:vertAlign w:val="superscript"/>
        </w:rPr>
        <w:t xml:space="preserve"> [1]</w:t>
      </w:r>
    </w:p>
    <w:p>
      <w:pPr>
        <w:pStyle w:val="Heading2"/>
        <w:keepNext w:val="true"/>
        <w:spacing w:before="240" w:after="100"/>
        <w:rPr/>
      </w:pPr>
      <w:r>
        <w:rPr>
          <w:rFonts w:eastAsia="Calibri" w:cs="Calibri" w:ascii="Calibri" w:hAnsi="Calibri"/>
          <w:b/>
          <w:bCs/>
          <w:color w:val="222B42"/>
          <w:sz w:val="25"/>
          <w:szCs w:val="25"/>
        </w:rPr>
        <w:t>What is transferred</w:t>
      </w:r>
    </w:p>
    <w:p>
      <w:pPr>
        <w:pStyle w:val="Normal"/>
        <w:spacing w:lineRule="exact" w:line="268" w:before="0" w:after="120"/>
        <w:rPr/>
      </w:pPr>
      <w:r>
        <w:rPr>
          <w:rFonts w:eastAsia="Calibri" w:cs="Calibri"/>
          <w:color w:val="2C3340"/>
          <w:sz w:val="21"/>
          <w:szCs w:val="21"/>
        </w:rPr>
        <w:t>Older women do not pass down a single message; they pass down a bundle — patriarchy, culture and SRHR disinformation braided together so tightly they arrive as one piece of advice. Pulling them apart is the first skill.</w:t>
      </w:r>
      <w:r>
        <w:rPr>
          <w:rFonts w:eastAsia="Calibri" w:cs="Calibri"/>
          <w:b/>
          <w:bCs/>
          <w:color w:val="A8863F"/>
          <w:sz w:val="13"/>
          <w:szCs w:val="13"/>
          <w:vertAlign w:val="superscript"/>
        </w:rPr>
        <w:t xml:space="preserve"> [1,4]</w:t>
      </w:r>
    </w:p>
    <w:tbl>
      <w:tblPr>
        <w:tblW w:w="9360" w:type="dxa"/>
        <w:jc w:val="left"/>
        <w:tblInd w:w="0" w:type="dxa"/>
        <w:tblLayout w:type="fixed"/>
        <w:tblCellMar>
          <w:top w:w="90" w:type="dxa"/>
          <w:left w:w="130" w:type="dxa"/>
          <w:bottom w:w="90" w:type="dxa"/>
          <w:right w:w="130" w:type="dxa"/>
        </w:tblCellMar>
      </w:tblPr>
      <w:tblGrid>
        <w:gridCol w:w="1750"/>
        <w:gridCol w:w="4559"/>
        <w:gridCol w:w="3051"/>
      </w:tblGrid>
      <w:tr>
        <w:trPr>
          <w:tblHeader w:val="true"/>
        </w:trPr>
        <w:tc>
          <w:tcPr>
            <w:tcW w:w="175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5"/>
                <w:szCs w:val="15"/>
              </w:rPr>
              <w:t>Strand</w:t>
            </w:r>
          </w:p>
        </w:tc>
        <w:tc>
          <w:tcPr>
            <w:tcW w:w="4559"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5"/>
                <w:szCs w:val="15"/>
              </w:rPr>
              <w:t>What it sounds like from Beth</w:t>
            </w:r>
          </w:p>
        </w:tc>
        <w:tc>
          <w:tcPr>
            <w:tcW w:w="3051"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5"/>
                <w:szCs w:val="15"/>
              </w:rPr>
              <w:t>What it really is</w:t>
            </w:r>
          </w:p>
        </w:tc>
      </w:tr>
      <w:tr>
        <w:trPr/>
        <w:tc>
          <w:tcPr>
            <w:tcW w:w="175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Patriarchy</w:t>
            </w:r>
          </w:p>
        </w:tc>
        <w:tc>
          <w:tcPr>
            <w:tcW w:w="45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w:t>
            </w:r>
            <w:r>
              <w:rPr>
                <w:rFonts w:eastAsia="Calibri" w:cs="Calibri"/>
                <w:b w:val="false"/>
                <w:bCs w:val="false"/>
                <w:color w:val="2C3340"/>
                <w:sz w:val="15"/>
                <w:szCs w:val="15"/>
              </w:rPr>
              <w:t>A woman’s worth is her children. Give your husband many.” “Let the man decide.”</w:t>
            </w:r>
          </w:p>
        </w:tc>
        <w:tc>
          <w:tcPr>
            <w:tcW w:w="305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Male reproductive authority, passed woman-to-woman as womanly duty (S4).</w:t>
            </w:r>
          </w:p>
        </w:tc>
      </w:tr>
      <w:tr>
        <w:trPr/>
        <w:tc>
          <w:tcPr>
            <w:tcW w:w="175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Culture &amp; shame</w:t>
            </w:r>
          </w:p>
        </w:tc>
        <w:tc>
          <w:tcPr>
            <w:tcW w:w="45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w:t>
            </w:r>
            <w:r>
              <w:rPr>
                <w:rFonts w:eastAsia="Calibri" w:cs="Calibri"/>
                <w:b w:val="false"/>
                <w:bCs w:val="false"/>
                <w:color w:val="2C3340"/>
                <w:sz w:val="15"/>
                <w:szCs w:val="15"/>
              </w:rPr>
              <w:t>Good girls wait. Only loose girls go to the clinic.” “Don’t bring shame on this family.”</w:t>
            </w:r>
          </w:p>
        </w:tc>
        <w:tc>
          <w:tcPr>
            <w:tcW w:w="305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Injunctive norms enforced by anticipated shame — the shame economy (S5/S3).</w:t>
            </w:r>
          </w:p>
        </w:tc>
      </w:tr>
      <w:tr>
        <w:trPr/>
        <w:tc>
          <w:tcPr>
            <w:tcW w:w="175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SRHR disinformation</w:t>
            </w:r>
          </w:p>
        </w:tc>
        <w:tc>
          <w:tcPr>
            <w:tcW w:w="45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w:t>
            </w:r>
            <w:r>
              <w:rPr>
                <w:rFonts w:eastAsia="Calibri" w:cs="Calibri"/>
                <w:b w:val="false"/>
                <w:bCs w:val="false"/>
                <w:color w:val="2C3340"/>
                <w:sz w:val="15"/>
                <w:szCs w:val="15"/>
              </w:rPr>
              <w:t>Family planning makes you barren.” “Depo damages the womb.”</w:t>
            </w:r>
          </w:p>
        </w:tc>
        <w:tc>
          <w:tcPr>
            <w:tcW w:w="305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Contraceptive-safety myths (Typology 1), delivered as protective fact (S6).</w:t>
            </w:r>
          </w:p>
        </w:tc>
      </w:tr>
      <w:tr>
        <w:trPr/>
        <w:tc>
          <w:tcPr>
            <w:tcW w:w="175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Fertility pressure</w:t>
            </w:r>
          </w:p>
        </w:tc>
        <w:tc>
          <w:tcPr>
            <w:tcW w:w="45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w:t>
            </w:r>
            <w:r>
              <w:rPr>
                <w:rFonts w:eastAsia="Calibri" w:cs="Calibri"/>
                <w:b w:val="false"/>
                <w:bCs w:val="false"/>
                <w:color w:val="2C3340"/>
                <w:sz w:val="15"/>
                <w:szCs w:val="15"/>
              </w:rPr>
              <w:t>Start early while your body is strong. Don’t wait too long.”</w:t>
            </w:r>
          </w:p>
        </w:tc>
        <w:tc>
          <w:tcPr>
            <w:tcW w:w="305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Early-marriage / early-childbearing norm dressed as health advice (S5).</w:t>
            </w:r>
          </w:p>
        </w:tc>
      </w:tr>
    </w:tbl>
    <w:p>
      <w:pPr>
        <w:pStyle w:val="Normal"/>
        <w:spacing w:lineRule="exact" w:line="250" w:before="0" w:after="130"/>
        <w:rPr/>
      </w:pPr>
      <w:r>
        <w:rPr>
          <w:rFonts w:eastAsia="Calibri" w:cs="Calibri"/>
          <w:i/>
          <w:iCs/>
          <w:color w:val="8892B0"/>
          <w:sz w:val="15"/>
          <w:szCs w:val="15"/>
        </w:rPr>
        <w:t>Strands and verbatim patterns: focus groups and social listening</w:t>
      </w:r>
      <w:r>
        <w:rPr>
          <w:rFonts w:eastAsia="Calibri" w:cs="Calibri"/>
          <w:b/>
          <w:bCs/>
          <w:color w:val="A8863F"/>
          <w:sz w:val="13"/>
          <w:szCs w:val="13"/>
          <w:vertAlign w:val="superscript"/>
        </w:rPr>
        <w:t xml:space="preserve"> [4,3]</w:t>
      </w:r>
      <w:r>
        <w:rPr>
          <w:rFonts w:eastAsia="Calibri" w:cs="Calibri"/>
          <w:i/>
          <w:iCs/>
          <w:color w:val="8892B0"/>
          <w:sz w:val="15"/>
          <w:szCs w:val="15"/>
        </w:rPr>
        <w:t>.</w:t>
      </w:r>
    </w:p>
    <w:p>
      <w:pPr>
        <w:pStyle w:val="Heading2"/>
        <w:keepNext w:val="true"/>
        <w:spacing w:before="240" w:after="100"/>
        <w:rPr/>
      </w:pPr>
      <w:r>
        <w:rPr>
          <w:rFonts w:eastAsia="Calibri" w:cs="Calibri" w:ascii="Calibri" w:hAnsi="Calibri"/>
          <w:b/>
          <w:bCs/>
          <w:color w:val="222B42"/>
          <w:sz w:val="25"/>
          <w:szCs w:val="25"/>
        </w:rPr>
        <w:t>Through which channels</w:t>
      </w:r>
    </w:p>
    <w:p>
      <w:pPr>
        <w:pStyle w:val="Normal"/>
        <w:spacing w:lineRule="exact" w:line="268" w:before="0" w:after="120"/>
        <w:rPr/>
      </w:pPr>
      <w:r>
        <w:rPr>
          <w:rFonts w:eastAsia="Calibri" w:cs="Calibri"/>
          <w:color w:val="2C3340"/>
          <w:sz w:val="21"/>
          <w:szCs w:val="21"/>
        </w:rPr>
        <w:t>The transfer is not one conversation; it runs on specific, identifiable channels. Each needs a different interruption (Part C).</w:t>
      </w:r>
      <w:r>
        <w:rPr>
          <w:rFonts w:eastAsia="Calibri" w:cs="Calibri"/>
          <w:b/>
          <w:bCs/>
          <w:color w:val="A8863F"/>
          <w:sz w:val="13"/>
          <w:szCs w:val="13"/>
          <w:vertAlign w:val="superscript"/>
        </w:rPr>
        <w:t xml:space="preserve"> [1]</w:t>
      </w:r>
    </w:p>
    <w:tbl>
      <w:tblPr>
        <w:tblW w:w="9360" w:type="dxa"/>
        <w:jc w:val="left"/>
        <w:tblInd w:w="0" w:type="dxa"/>
        <w:tblLayout w:type="fixed"/>
        <w:tblCellMar>
          <w:top w:w="90" w:type="dxa"/>
          <w:left w:w="130" w:type="dxa"/>
          <w:bottom w:w="90" w:type="dxa"/>
          <w:right w:w="130" w:type="dxa"/>
        </w:tblCellMar>
      </w:tblPr>
      <w:tblGrid>
        <w:gridCol w:w="2199"/>
        <w:gridCol w:w="4261"/>
        <w:gridCol w:w="2900"/>
      </w:tblGrid>
      <w:tr>
        <w:trPr>
          <w:tblHeader w:val="true"/>
        </w:trPr>
        <w:tc>
          <w:tcPr>
            <w:tcW w:w="2199"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5"/>
                <w:szCs w:val="15"/>
              </w:rPr>
              <w:t>Channel</w:t>
            </w:r>
          </w:p>
        </w:tc>
        <w:tc>
          <w:tcPr>
            <w:tcW w:w="4261"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5"/>
                <w:szCs w:val="15"/>
              </w:rPr>
              <w:t>How the transfer happens here</w:t>
            </w:r>
          </w:p>
        </w:tc>
        <w:tc>
          <w:tcPr>
            <w:tcW w:w="290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5"/>
                <w:szCs w:val="15"/>
              </w:rPr>
              <w:t>Why it is powerful</w:t>
            </w:r>
          </w:p>
        </w:tc>
      </w:tr>
      <w:tr>
        <w:trPr/>
        <w:tc>
          <w:tcPr>
            <w:tcW w:w="21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Face-to-face — the kitchen</w:t>
            </w:r>
          </w:p>
        </w:tc>
        <w:tc>
          <w:tcPr>
            <w:tcW w:w="426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Advice given while cooking, plaiting hair, at the market — the intimate one-to-one where Beth counsels Agneta directly.</w:t>
            </w:r>
          </w:p>
        </w:tc>
        <w:tc>
          <w:tcPr>
            <w:tcW w:w="29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Highest trust, total privacy, delivered as love; no third party can rebut it in the moment.</w:t>
            </w:r>
          </w:p>
        </w:tc>
      </w:tr>
      <w:tr>
        <w:trPr/>
        <w:tc>
          <w:tcPr>
            <w:tcW w:w="21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The family WhatsApp group</w:t>
            </w:r>
          </w:p>
        </w:tc>
        <w:tc>
          <w:tcPr>
            <w:tcW w:w="426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Beth (admin) and relatives forward “warnings,” myths and prayer-wrapped health claims to 30+ kin at once.</w:t>
            </w:r>
          </w:p>
        </w:tc>
        <w:tc>
          <w:tcPr>
            <w:tcW w:w="29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Closed and unmoderated; arrives with a trusted relative’s endorsement; scales instantly across the family.</w:t>
            </w:r>
          </w:p>
        </w:tc>
      </w:tr>
      <w:tr>
        <w:trPr/>
        <w:tc>
          <w:tcPr>
            <w:tcW w:w="21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Ceremonies &amp; women’s gatherings</w:t>
            </w:r>
          </w:p>
        </w:tc>
        <w:tc>
          <w:tcPr>
            <w:tcW w:w="426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Weddings, funerals, church women’s groups, ruracio and initiation talk where norms are stated publicly and reinforced.</w:t>
            </w:r>
          </w:p>
        </w:tc>
        <w:tc>
          <w:tcPr>
            <w:tcW w:w="29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Collective and public; states the injunctive norm (“this is what we approve of”) in front of everyone.</w:t>
            </w:r>
          </w:p>
        </w:tc>
      </w:tr>
      <w:tr>
        <w:trPr/>
        <w:tc>
          <w:tcPr>
            <w:tcW w:w="21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The shame economy</w:t>
            </w:r>
          </w:p>
        </w:tc>
        <w:tc>
          <w:tcPr>
            <w:tcW w:w="426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Gossip, side-comments and reputation — “people will talk” — that police a girl’s visible behaviour.</w:t>
            </w:r>
          </w:p>
        </w:tc>
        <w:tc>
          <w:tcPr>
            <w:tcW w:w="29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Enforcement, not information; raises the cost of a girl acting even when she knows the facts.</w:t>
            </w:r>
          </w:p>
        </w:tc>
      </w:tr>
    </w:tbl>
    <w:p>
      <w:pPr>
        <w:pStyle w:val="Normal"/>
        <w:spacing w:lineRule="exact" w:line="250" w:before="0" w:after="130"/>
        <w:rPr/>
      </w:pPr>
      <w:r>
        <w:rPr>
          <w:rFonts w:eastAsia="Calibri" w:cs="Calibri"/>
          <w:i/>
          <w:iCs/>
          <w:color w:val="8892B0"/>
          <w:sz w:val="15"/>
          <w:szCs w:val="15"/>
        </w:rPr>
        <w:t>Transfer channels: research report and focus groups</w:t>
      </w:r>
      <w:r>
        <w:rPr>
          <w:rFonts w:eastAsia="Calibri" w:cs="Calibri"/>
          <w:b/>
          <w:bCs/>
          <w:color w:val="A8863F"/>
          <w:sz w:val="13"/>
          <w:szCs w:val="13"/>
          <w:vertAlign w:val="superscript"/>
        </w:rPr>
        <w:t xml:space="preserve"> [1,4]</w:t>
      </w:r>
      <w:r>
        <w:rPr>
          <w:rFonts w:eastAsia="Calibri" w:cs="Calibri"/>
          <w:i/>
          <w:iCs/>
          <w:color w:val="8892B0"/>
          <w:sz w:val="15"/>
          <w:szCs w:val="15"/>
        </w:rPr>
        <w:t>.</w:t>
      </w:r>
    </w:p>
    <w:p>
      <w:pPr>
        <w:pStyle w:val="Heading2"/>
        <w:keepNext w:val="true"/>
        <w:spacing w:before="240" w:after="100"/>
        <w:rPr/>
      </w:pPr>
      <w:r>
        <w:rPr>
          <w:rFonts w:eastAsia="Calibri" w:cs="Calibri" w:ascii="Calibri" w:hAnsi="Calibri"/>
          <w:b/>
          <w:bCs/>
          <w:color w:val="222B42"/>
          <w:sz w:val="25"/>
          <w:szCs w:val="25"/>
        </w:rPr>
        <w:t>Why it is so hard to counter</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EAF1F6"/>
              <w:left w:val="single" w:sz="28" w:space="0" w:color="3C6E8F"/>
              <w:bottom w:val="single" w:sz="2" w:space="0" w:color="EAF1F6"/>
              <w:right w:val="single" w:sz="2" w:space="0" w:color="EAF1F6"/>
            </w:tcBorders>
            <w:shd w:fill="EAF1F6" w:val="clear"/>
          </w:tcPr>
          <w:p>
            <w:pPr>
              <w:pStyle w:val="Normal"/>
              <w:spacing w:before="0" w:after="70"/>
              <w:rPr/>
            </w:pPr>
            <w:r>
              <w:rPr>
                <w:rFonts w:eastAsia="Calibri" w:cs="Calibri"/>
                <w:b/>
                <w:bCs/>
                <w:color w:val="3C6E8F"/>
                <w:spacing w:val="36"/>
                <w:sz w:val="15"/>
                <w:szCs w:val="15"/>
              </w:rPr>
              <w:t>FRAMEWORK</w:t>
            </w:r>
            <w:r>
              <w:rPr>
                <w:rFonts w:eastAsia="Calibri" w:cs="Calibri"/>
                <w:b/>
                <w:bCs/>
                <w:color w:val="222B42"/>
                <w:sz w:val="20"/>
                <w:szCs w:val="20"/>
              </w:rPr>
              <w:t xml:space="preserve">   ·   Delivered as love, enforced as a norm</w:t>
            </w:r>
          </w:p>
          <w:p>
            <w:pPr>
              <w:pStyle w:val="Normal"/>
              <w:spacing w:lineRule="exact" w:line="266" w:before="0" w:after="0"/>
              <w:rPr/>
            </w:pPr>
            <w:r>
              <w:rPr>
                <w:rFonts w:eastAsia="Calibri" w:cs="Calibri"/>
                <w:b w:val="false"/>
                <w:bCs w:val="false"/>
                <w:i w:val="false"/>
                <w:iCs w:val="false"/>
                <w:color w:val="2C3340"/>
                <w:sz w:val="21"/>
                <w:szCs w:val="21"/>
              </w:rPr>
              <w:t xml:space="preserve">Two mechanisms make the transfer almost immune to conventional campaigns. First, </w:t>
            </w:r>
            <w:r>
              <w:rPr>
                <w:rFonts w:eastAsia="Calibri" w:cs="Calibri"/>
                <w:b/>
                <w:bCs/>
                <w:i w:val="false"/>
                <w:iCs w:val="false"/>
                <w:color w:val="2C3340"/>
                <w:sz w:val="21"/>
                <w:szCs w:val="21"/>
              </w:rPr>
              <w:t>it arrives as love</w:t>
            </w:r>
            <w:r>
              <w:rPr>
                <w:rFonts w:eastAsia="Calibri" w:cs="Calibri"/>
                <w:b w:val="false"/>
                <w:bCs w:val="false"/>
                <w:i w:val="false"/>
                <w:iCs w:val="false"/>
                <w:color w:val="2C3340"/>
                <w:sz w:val="21"/>
                <w:szCs w:val="21"/>
              </w:rPr>
              <w:t xml:space="preserve">: because the message comes from the person most invested in the girl’s wellbeing, it bypasses the critical filtering a stranger’s claim would meet. Second, </w:t>
            </w:r>
            <w:r>
              <w:rPr>
                <w:rFonts w:eastAsia="Calibri" w:cs="Calibri"/>
                <w:b/>
                <w:bCs/>
                <w:i w:val="false"/>
                <w:iCs w:val="false"/>
                <w:color w:val="2C3340"/>
                <w:sz w:val="21"/>
                <w:szCs w:val="21"/>
              </w:rPr>
              <w:t>it is a norm, not an opinion</w:t>
            </w:r>
            <w:r>
              <w:rPr>
                <w:rFonts w:eastAsia="Calibri" w:cs="Calibri"/>
                <w:b w:val="false"/>
                <w:bCs w:val="false"/>
                <w:i w:val="false"/>
                <w:iCs w:val="false"/>
                <w:color w:val="2C3340"/>
                <w:sz w:val="21"/>
                <w:szCs w:val="21"/>
              </w:rPr>
              <w:t>: Agneta may privately know the facts, but she conforms to what she believes Beth and the family approve of (the injunctive norm) and what she believes other “good” girls do (the descriptive norm). Facts alone do not move a norm — only a shift in what the trusted reference group is seen to do and approve.</w:t>
            </w:r>
            <w:r>
              <w:rPr>
                <w:rFonts w:eastAsia="Calibri" w:cs="Calibri"/>
                <w:b/>
                <w:bCs/>
                <w:color w:val="A8863F"/>
                <w:sz w:val="13"/>
                <w:szCs w:val="13"/>
                <w:vertAlign w:val="superscript"/>
              </w:rPr>
              <w:t xml:space="preserve"> [7,8,1]</w:t>
            </w:r>
          </w:p>
        </w:tc>
      </w:tr>
    </w:tbl>
    <w:p>
      <w:pPr>
        <w:pStyle w:val="Normal"/>
        <w:spacing w:before="0" w:after="150"/>
        <w:rPr/>
      </w:pPr>
      <w:r>
        <w:rPr/>
      </w:r>
    </w:p>
    <w:p>
      <w:pPr>
        <w:pStyle w:val="Normal"/>
        <w:spacing w:lineRule="exact" w:line="268" w:before="0" w:after="120"/>
        <w:rPr/>
      </w:pPr>
      <w:r>
        <w:rPr>
          <w:rFonts w:eastAsia="Calibri" w:cs="Calibri"/>
          <w:b w:val="false"/>
          <w:bCs w:val="false"/>
          <w:i w:val="false"/>
          <w:iCs w:val="false"/>
          <w:color w:val="2C3340"/>
          <w:sz w:val="21"/>
          <w:szCs w:val="21"/>
        </w:rPr>
        <w:t xml:space="preserve">There is also a hard truth the evidence insists on: older women’s influence is </w:t>
      </w:r>
      <w:r>
        <w:rPr>
          <w:rFonts w:eastAsia="Calibri" w:cs="Calibri"/>
          <w:b/>
          <w:bCs/>
          <w:i w:val="false"/>
          <w:iCs w:val="false"/>
          <w:color w:val="111827"/>
          <w:sz w:val="21"/>
          <w:szCs w:val="21"/>
        </w:rPr>
        <w:t>bidirectional</w:t>
      </w:r>
      <w:r>
        <w:rPr>
          <w:rFonts w:eastAsia="Calibri" w:cs="Calibri"/>
          <w:b w:val="false"/>
          <w:bCs w:val="false"/>
          <w:i w:val="false"/>
          <w:iCs w:val="false"/>
          <w:color w:val="2C3340"/>
          <w:sz w:val="21"/>
          <w:szCs w:val="21"/>
        </w:rPr>
        <w:t>. Where a mother-in-law or aunt endorses spacing, contraceptive use rises. The goal is therefore never to remove Beth from the conversation — it is to change what she endorses. Bypass her and the girl’s decision goes underground into secrecy; convert her and she protects every girl in her orbit.</w:t>
      </w:r>
      <w:r>
        <w:rPr>
          <w:rFonts w:eastAsia="Calibri" w:cs="Calibri"/>
          <w:b/>
          <w:bCs/>
          <w:color w:val="A8863F"/>
          <w:sz w:val="13"/>
          <w:szCs w:val="13"/>
          <w:vertAlign w:val="superscript"/>
        </w:rPr>
        <w:t xml:space="preserve"> [9]</w:t>
      </w:r>
      <w:r>
        <w:br w:type="page"/>
      </w:r>
    </w:p>
    <w:p>
      <w:pPr>
        <w:pStyle w:val="Normal"/>
        <w:keepNext w:val="true"/>
        <w:spacing w:before="0" w:after="40"/>
        <w:rPr/>
      </w:pPr>
      <w:r>
        <w:rPr>
          <w:rFonts w:eastAsia="Calibri" w:cs="Calibri"/>
          <w:b/>
          <w:bCs/>
          <w:color w:val="C6A15B"/>
          <w:spacing w:val="30"/>
          <w:sz w:val="16"/>
          <w:szCs w:val="16"/>
        </w:rPr>
        <w:t>PART B</w:t>
      </w:r>
    </w:p>
    <w:p>
      <w:pPr>
        <w:pStyle w:val="Heading1"/>
        <w:keepNext w:val="true"/>
        <w:pBdr>
          <w:bottom w:val="single" w:sz="12" w:space="6" w:color="C6A15B"/>
        </w:pBdr>
        <w:spacing w:before="320" w:after="140"/>
        <w:rPr/>
      </w:pPr>
      <w:r>
        <w:rPr>
          <w:rFonts w:eastAsia="Calibri" w:cs="Calibri" w:ascii="Calibri" w:hAnsi="Calibri"/>
          <w:b/>
          <w:bCs/>
          <w:color w:val="111827"/>
          <w:sz w:val="30"/>
          <w:szCs w:val="30"/>
        </w:rPr>
        <w:t>The gatekeeper → champion pathway</w:t>
      </w:r>
    </w:p>
    <w:p>
      <w:pPr>
        <w:pStyle w:val="Normal"/>
        <w:spacing w:lineRule="exact" w:line="268" w:before="0" w:after="120"/>
        <w:rPr/>
      </w:pPr>
      <w:r>
        <w:rPr>
          <w:rFonts w:eastAsia="Calibri" w:cs="Calibri"/>
          <w:color w:val="2C3340"/>
          <w:sz w:val="21"/>
          <w:szCs w:val="21"/>
        </w:rPr>
        <w:t>Change is not a switch; it is a path with stages. Naming the stages lets a facilitator diagnose where a given aunty is and choose the right move — you cannot ask someone at Stage 0 to do a Stage 3 thing. Here is the pathway, illustrated through Beth.</w:t>
      </w:r>
      <w:r>
        <w:rPr>
          <w:rFonts w:eastAsia="Calibri" w:cs="Calibri"/>
          <w:b/>
          <w:bCs/>
          <w:color w:val="A8863F"/>
          <w:sz w:val="13"/>
          <w:szCs w:val="13"/>
          <w:vertAlign w:val="superscript"/>
        </w:rPr>
        <w:t xml:space="preserve"> [1]</w:t>
      </w:r>
    </w:p>
    <w:tbl>
      <w:tblPr>
        <w:tblW w:w="9360" w:type="dxa"/>
        <w:jc w:val="left"/>
        <w:tblInd w:w="0" w:type="dxa"/>
        <w:tblLayout w:type="fixed"/>
        <w:tblCellMar>
          <w:top w:w="90" w:type="dxa"/>
          <w:left w:w="130" w:type="dxa"/>
          <w:bottom w:w="90" w:type="dxa"/>
          <w:right w:w="130" w:type="dxa"/>
        </w:tblCellMar>
      </w:tblPr>
      <w:tblGrid>
        <w:gridCol w:w="1500"/>
        <w:gridCol w:w="4559"/>
        <w:gridCol w:w="3301"/>
      </w:tblGrid>
      <w:tr>
        <w:trPr>
          <w:tblHeader w:val="true"/>
        </w:trPr>
        <w:tc>
          <w:tcPr>
            <w:tcW w:w="150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4"/>
                <w:szCs w:val="14"/>
              </w:rPr>
              <w:t>Stage</w:t>
            </w:r>
          </w:p>
        </w:tc>
        <w:tc>
          <w:tcPr>
            <w:tcW w:w="4559"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4"/>
                <w:szCs w:val="14"/>
              </w:rPr>
              <w:t>What Beth looks like here</w:t>
            </w:r>
          </w:p>
        </w:tc>
        <w:tc>
          <w:tcPr>
            <w:tcW w:w="3301"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4"/>
                <w:szCs w:val="14"/>
              </w:rPr>
              <w:t>What moves her to the next stage</w:t>
            </w:r>
          </w:p>
        </w:tc>
      </w:tr>
      <w:tr>
        <w:trPr/>
        <w:tc>
          <w:tcPr>
            <w:tcW w:w="15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4"/>
                <w:szCs w:val="14"/>
              </w:rPr>
              <w:t>0 · Gatekeeper</w:t>
            </w:r>
          </w:p>
        </w:tc>
        <w:tc>
          <w:tcPr>
            <w:tcW w:w="45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4"/>
                <w:szCs w:val="14"/>
              </w:rPr>
              <w:t>Certain and protective; passes on the warnings as settled truth. Not open to a stranger’s facts.</w:t>
            </w:r>
          </w:p>
        </w:tc>
        <w:tc>
          <w:tcPr>
            <w:tcW w:w="330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4"/>
                <w:szCs w:val="14"/>
              </w:rPr>
              <w:t>A trusted convener; her cultural role honoured, not attacked; an invitation to reflect, not a lecture.</w:t>
            </w:r>
          </w:p>
        </w:tc>
      </w:tr>
      <w:tr>
        <w:trPr/>
        <w:tc>
          <w:tcPr>
            <w:tcW w:w="15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4"/>
                <w:szCs w:val="14"/>
              </w:rPr>
              <w:t>1 · Doubt</w:t>
            </w:r>
          </w:p>
        </w:tc>
        <w:tc>
          <w:tcPr>
            <w:tcW w:w="45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4"/>
                <w:szCs w:val="14"/>
              </w:rPr>
              <w:t>Something unsettles her — a clinician she respects, another aunty’s story, a granddaughter’s pain. “Maybe not everything I was told is true.”</w:t>
            </w:r>
          </w:p>
        </w:tc>
        <w:tc>
          <w:tcPr>
            <w:tcW w:w="330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4"/>
                <w:szCs w:val="14"/>
              </w:rPr>
              <w:t>Accurate information inside her values; permission to have been misinformed without being blamed.</w:t>
            </w:r>
          </w:p>
        </w:tc>
      </w:tr>
      <w:tr>
        <w:trPr/>
        <w:tc>
          <w:tcPr>
            <w:tcW w:w="15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4"/>
                <w:szCs w:val="14"/>
              </w:rPr>
              <w:t>2 · Reframe</w:t>
            </w:r>
          </w:p>
        </w:tc>
        <w:tc>
          <w:tcPr>
            <w:tcW w:w="45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4"/>
                <w:szCs w:val="14"/>
              </w:rPr>
              <w:t>She separates her love (right) from her facts (wrong). “I still want to protect Agneta — but the safe way is different from what I thought.”</w:t>
            </w:r>
          </w:p>
        </w:tc>
        <w:tc>
          <w:tcPr>
            <w:tcW w:w="330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4"/>
                <w:szCs w:val="14"/>
              </w:rPr>
              <w:t>The new scripts: language that keeps her intention and intimacy but carries accurate content.</w:t>
            </w:r>
          </w:p>
        </w:tc>
      </w:tr>
      <w:tr>
        <w:trPr/>
        <w:tc>
          <w:tcPr>
            <w:tcW w:w="15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4"/>
                <w:szCs w:val="14"/>
              </w:rPr>
              <w:t>3 · Adopt</w:t>
            </w:r>
          </w:p>
        </w:tc>
        <w:tc>
          <w:tcPr>
            <w:tcW w:w="45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4"/>
                <w:szCs w:val="14"/>
              </w:rPr>
              <w:t>She quietly changes her own advice in the kitchen and the group; she goes with a girl to the clinic.</w:t>
            </w:r>
          </w:p>
        </w:tc>
        <w:tc>
          <w:tcPr>
            <w:tcW w:w="330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4"/>
                <w:szCs w:val="14"/>
              </w:rPr>
              <w:t>Practice and reinforcement; a peer group of aunties doing the same; small early wins she can see.</w:t>
            </w:r>
          </w:p>
        </w:tc>
      </w:tr>
      <w:tr>
        <w:trPr/>
        <w:tc>
          <w:tcPr>
            <w:tcW w:w="15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4"/>
                <w:szCs w:val="14"/>
              </w:rPr>
              <w:t>4 · Champion</w:t>
            </w:r>
          </w:p>
        </w:tc>
        <w:tc>
          <w:tcPr>
            <w:tcW w:w="45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4"/>
                <w:szCs w:val="14"/>
              </w:rPr>
              <w:t>She actively persuades other aunties; she tells her own change-of-heart story; she defends a girl’s health publicly.</w:t>
            </w:r>
          </w:p>
        </w:tc>
        <w:tc>
          <w:tcPr>
            <w:tcW w:w="330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4"/>
                <w:szCs w:val="14"/>
              </w:rPr>
              <w:t>Recognition, a platform, and safeguarding — plus her own story turned into content (Part D, Session 5).</w:t>
            </w:r>
          </w:p>
        </w:tc>
      </w:tr>
    </w:tbl>
    <w:p>
      <w:pPr>
        <w:pStyle w:val="Normal"/>
        <w:spacing w:lineRule="exact" w:line="250" w:before="0" w:after="130"/>
        <w:rPr/>
      </w:pPr>
      <w:r>
        <w:rPr>
          <w:rFonts w:eastAsia="Calibri" w:cs="Calibri"/>
          <w:i/>
          <w:iCs/>
          <w:color w:val="8892B0"/>
          <w:sz w:val="15"/>
          <w:szCs w:val="15"/>
        </w:rPr>
        <w:t>Pathway synthesised from the Grandmother Project evidence and social-norms diffusion theory</w:t>
      </w:r>
      <w:r>
        <w:rPr>
          <w:rFonts w:eastAsia="Calibri" w:cs="Calibri"/>
          <w:b/>
          <w:bCs/>
          <w:color w:val="A8863F"/>
          <w:sz w:val="13"/>
          <w:szCs w:val="13"/>
          <w:vertAlign w:val="superscript"/>
        </w:rPr>
        <w:t xml:space="preserve"> [5,7,1]</w:t>
      </w:r>
      <w:r>
        <w:rPr>
          <w:rFonts w:eastAsia="Calibri" w:cs="Calibri"/>
          <w:i/>
          <w:iCs/>
          <w:color w:val="8892B0"/>
          <w:sz w:val="15"/>
          <w:szCs w:val="15"/>
        </w:rPr>
        <w:t>.</w:t>
      </w:r>
    </w:p>
    <w:p>
      <w:pPr>
        <w:pStyle w:val="Normal"/>
        <w:spacing w:lineRule="exact" w:line="258" w:before="0" w:after="140"/>
        <w:rPr/>
      </w:pPr>
      <w:r>
        <w:rPr>
          <w:rFonts w:eastAsia="Calibri" w:cs="Calibri"/>
          <w:b/>
          <w:bCs/>
          <w:color w:val="8892B0"/>
          <w:spacing w:val="28"/>
          <w:sz w:val="13"/>
          <w:szCs w:val="13"/>
        </w:rPr>
        <w:t xml:space="preserve">ILLUSTRATION  </w:t>
      </w:r>
      <w:r>
        <w:rPr>
          <w:rFonts w:eastAsia="Calibri" w:cs="Calibri"/>
          <w:i/>
          <w:iCs/>
          <w:color w:val="8892B0"/>
          <w:sz w:val="17"/>
          <w:szCs w:val="17"/>
        </w:rPr>
        <w:t>A five-panel strip showing Beth’s face changing across the stages — arms crossed and certain at Stage 0, thoughtful at Doubt, softening at Reframe, walking beside Agneta at Adopt, speaking to a circle of aunties at Champion. Same woman, one journey.</w:t>
      </w:r>
    </w:p>
    <w:p>
      <w:pPr>
        <w:pStyle w:val="Normal"/>
        <w:spacing w:lineRule="exact" w:line="268" w:before="0" w:after="120"/>
        <w:rPr/>
      </w:pPr>
      <w:r>
        <w:rPr>
          <w:rFonts w:eastAsia="Calibri" w:cs="Calibri"/>
          <w:color w:val="2C3340"/>
          <w:sz w:val="21"/>
          <w:szCs w:val="21"/>
        </w:rPr>
        <w:t>Two cautions. Progress is not linear — an aunty can slip back under family or church pressure, so reinforcement matters as much as the first shift. And the pathway is a diagnostic, not a script to rush: an aunty pushed from 0 to 4 in one meeting will revert. Meet each woman where she is.</w:t>
      </w:r>
      <w:r>
        <w:rPr>
          <w:rFonts w:eastAsia="Calibri" w:cs="Calibri"/>
          <w:b/>
          <w:bCs/>
          <w:color w:val="A8863F"/>
          <w:sz w:val="13"/>
          <w:szCs w:val="13"/>
          <w:vertAlign w:val="superscript"/>
        </w:rPr>
        <w:t xml:space="preserve"> [1]</w:t>
      </w:r>
      <w:r>
        <w:br w:type="page"/>
      </w:r>
    </w:p>
    <w:p>
      <w:pPr>
        <w:pStyle w:val="Normal"/>
        <w:keepNext w:val="true"/>
        <w:spacing w:before="0" w:after="40"/>
        <w:rPr/>
      </w:pPr>
      <w:r>
        <w:rPr>
          <w:rFonts w:eastAsia="Calibri" w:cs="Calibri"/>
          <w:b/>
          <w:bCs/>
          <w:color w:val="C6A15B"/>
          <w:spacing w:val="30"/>
          <w:sz w:val="16"/>
          <w:szCs w:val="16"/>
        </w:rPr>
        <w:t>PART C</w:t>
      </w:r>
    </w:p>
    <w:p>
      <w:pPr>
        <w:pStyle w:val="Heading1"/>
        <w:keepNext w:val="true"/>
        <w:pBdr>
          <w:bottom w:val="single" w:sz="12" w:space="6" w:color="C6A15B"/>
        </w:pBdr>
        <w:spacing w:before="320" w:after="140"/>
        <w:rPr/>
      </w:pPr>
      <w:r>
        <w:rPr>
          <w:rFonts w:eastAsia="Calibri" w:cs="Calibri" w:ascii="Calibri" w:hAnsi="Calibri"/>
          <w:b/>
          <w:bCs/>
          <w:color w:val="111827"/>
          <w:sz w:val="30"/>
          <w:szCs w:val="30"/>
        </w:rPr>
        <w:t>Interrupting the transfer — respectfully and effectively</w:t>
      </w:r>
    </w:p>
    <w:p>
      <w:pPr>
        <w:pStyle w:val="Heading2"/>
        <w:keepNext w:val="true"/>
        <w:spacing w:before="240" w:after="100"/>
        <w:rPr/>
      </w:pPr>
      <w:r>
        <w:rPr>
          <w:rFonts w:eastAsia="Calibri" w:cs="Calibri" w:ascii="Calibri" w:hAnsi="Calibri"/>
          <w:b/>
          <w:bCs/>
          <w:color w:val="222B42"/>
          <w:sz w:val="25"/>
          <w:szCs w:val="25"/>
        </w:rPr>
        <w:t>Five principles</w:t>
      </w:r>
    </w:p>
    <w:p>
      <w:pPr>
        <w:pStyle w:val="Normal"/>
        <w:spacing w:lineRule="exact" w:line="258" w:before="0" w:after="60"/>
        <w:rPr/>
      </w:pPr>
      <w:r>
        <w:rPr>
          <w:rFonts w:eastAsia="Calibri" w:cs="Calibri"/>
          <w:b/>
          <w:bCs/>
          <w:color w:val="222B42"/>
          <w:sz w:val="21"/>
          <w:szCs w:val="21"/>
        </w:rPr>
        <w:t xml:space="preserve">1 · Honour the intention.  </w:t>
      </w:r>
      <w:r>
        <w:rPr>
          <w:rFonts w:eastAsia="Calibri" w:cs="Calibri"/>
          <w:color w:val="2C3340"/>
          <w:sz w:val="21"/>
          <w:szCs w:val="21"/>
        </w:rPr>
        <w:t>Always name the love first. “You want Agneta to have a good future — so do we.” The intention is right; only the information is wrong.</w:t>
      </w:r>
    </w:p>
    <w:p>
      <w:pPr>
        <w:pStyle w:val="Normal"/>
        <w:spacing w:lineRule="exact" w:line="258" w:before="0" w:after="60"/>
        <w:rPr/>
      </w:pPr>
      <w:r>
        <w:rPr>
          <w:rFonts w:eastAsia="Calibri" w:cs="Calibri"/>
          <w:b/>
          <w:bCs/>
          <w:color w:val="222B42"/>
          <w:sz w:val="21"/>
          <w:szCs w:val="21"/>
        </w:rPr>
        <w:t xml:space="preserve">2 · Never shame the messenger.  </w:t>
      </w:r>
      <w:r>
        <w:rPr>
          <w:rFonts w:eastAsia="Calibri" w:cs="Calibri"/>
          <w:color w:val="2C3340"/>
          <w:sz w:val="21"/>
          <w:szCs w:val="21"/>
        </w:rPr>
        <w:t>Attacking Beth’s beliefs attacks Beth. She will defend the old norm harder, and you will lose the channel. Shame is the one thing that reliably fails.</w:t>
      </w:r>
    </w:p>
    <w:p>
      <w:pPr>
        <w:pStyle w:val="Normal"/>
        <w:spacing w:lineRule="exact" w:line="258" w:before="0" w:after="60"/>
        <w:rPr/>
      </w:pPr>
      <w:r>
        <w:rPr>
          <w:rFonts w:eastAsia="Calibri" w:cs="Calibri"/>
          <w:b/>
          <w:bCs/>
          <w:color w:val="222B42"/>
          <w:sz w:val="21"/>
          <w:szCs w:val="21"/>
        </w:rPr>
        <w:t xml:space="preserve">3 · Work through her, not around her.  </w:t>
      </w:r>
      <w:r>
        <w:rPr>
          <w:rFonts w:eastAsia="Calibri" w:cs="Calibri"/>
          <w:color w:val="2C3340"/>
          <w:sz w:val="21"/>
          <w:szCs w:val="21"/>
        </w:rPr>
        <w:t>Do not bypass Beth to reach Agneta directly — that drives the decision into secrecy. Change what Beth endorses and you change the whole family.</w:t>
      </w:r>
    </w:p>
    <w:p>
      <w:pPr>
        <w:pStyle w:val="Normal"/>
        <w:spacing w:lineRule="exact" w:line="258" w:before="0" w:after="60"/>
        <w:rPr/>
      </w:pPr>
      <w:r>
        <w:rPr>
          <w:rFonts w:eastAsia="Calibri" w:cs="Calibri"/>
          <w:b/>
          <w:bCs/>
          <w:color w:val="222B42"/>
          <w:sz w:val="21"/>
          <w:szCs w:val="21"/>
        </w:rPr>
        <w:t xml:space="preserve">4 · Keep the love, change the facts.  </w:t>
      </w:r>
      <w:r>
        <w:rPr>
          <w:rFonts w:eastAsia="Calibri" w:cs="Calibri"/>
          <w:color w:val="2C3340"/>
          <w:sz w:val="21"/>
          <w:szCs w:val="21"/>
        </w:rPr>
        <w:t>The new script must still sound like a caring aunty, not a campaign. Do not take the warmth out of the sentence — swap the false fact inside it.</w:t>
      </w:r>
    </w:p>
    <w:p>
      <w:pPr>
        <w:pStyle w:val="Normal"/>
        <w:spacing w:lineRule="exact" w:line="258" w:before="0" w:after="60"/>
        <w:rPr/>
      </w:pPr>
      <w:r>
        <w:rPr>
          <w:rFonts w:eastAsia="Calibri" w:cs="Calibri"/>
          <w:b/>
          <w:bCs/>
          <w:color w:val="222B42"/>
          <w:sz w:val="21"/>
          <w:szCs w:val="21"/>
        </w:rPr>
        <w:t xml:space="preserve">5 · Give her a role, not just a correction.  </w:t>
      </w:r>
      <w:r>
        <w:rPr>
          <w:rFonts w:eastAsia="Calibri" w:cs="Calibri"/>
          <w:color w:val="2C3340"/>
          <w:sz w:val="21"/>
          <w:szCs w:val="21"/>
        </w:rPr>
        <w:t>People defend what they help build. Move Beth from audience to author — of the new scripts, and of her own story.</w:t>
      </w:r>
    </w:p>
    <w:p>
      <w:pPr>
        <w:pStyle w:val="Normal"/>
        <w:spacing w:before="0" w:after="100"/>
        <w:rPr/>
      </w:pPr>
      <w:r>
        <w:rPr/>
      </w:r>
    </w:p>
    <w:p>
      <w:pPr>
        <w:pStyle w:val="Heading2"/>
        <w:keepNext w:val="true"/>
        <w:spacing w:before="240" w:after="100"/>
        <w:rPr/>
      </w:pPr>
      <w:r>
        <w:rPr>
          <w:rFonts w:eastAsia="Calibri" w:cs="Calibri" w:ascii="Calibri" w:hAnsi="Calibri"/>
          <w:b/>
          <w:bCs/>
          <w:color w:val="222B42"/>
          <w:sz w:val="25"/>
          <w:szCs w:val="25"/>
        </w:rPr>
        <w:t>Interrupting, channel by channel</w:t>
      </w:r>
    </w:p>
    <w:p>
      <w:pPr>
        <w:pStyle w:val="Normal"/>
        <w:spacing w:lineRule="exact" w:line="268" w:before="0" w:after="120"/>
        <w:rPr/>
      </w:pPr>
      <w:r>
        <w:rPr>
          <w:rFonts w:eastAsia="Calibri" w:cs="Calibri"/>
          <w:color w:val="2C3340"/>
          <w:sz w:val="21"/>
          <w:szCs w:val="21"/>
        </w:rPr>
        <w:t>Each transfer channel from Part A needs its own interruption. This is the operational heart of the curriculum.</w:t>
      </w:r>
      <w:r>
        <w:rPr>
          <w:rFonts w:eastAsia="Calibri" w:cs="Calibri"/>
          <w:b/>
          <w:bCs/>
          <w:color w:val="A8863F"/>
          <w:sz w:val="13"/>
          <w:szCs w:val="13"/>
          <w:vertAlign w:val="superscript"/>
        </w:rPr>
        <w:t xml:space="preserve"> [1]</w:t>
      </w:r>
    </w:p>
    <w:p>
      <w:pPr>
        <w:pStyle w:val="Heading3"/>
        <w:keepNext w:val="true"/>
        <w:spacing w:before="180" w:after="70"/>
        <w:rPr/>
      </w:pPr>
      <w:r>
        <w:rPr>
          <w:rFonts w:eastAsia="Calibri" w:cs="Calibri" w:ascii="Calibri" w:hAnsi="Calibri"/>
          <w:b/>
          <w:bCs/>
          <w:color w:val="A8863F"/>
          <w:sz w:val="22"/>
          <w:szCs w:val="22"/>
        </w:rPr>
        <w:t>In the kitchen (face-to-face)</w:t>
      </w:r>
    </w:p>
    <w:p>
      <w:pPr>
        <w:pStyle w:val="Normal"/>
        <w:spacing w:lineRule="exact" w:line="268" w:before="0" w:after="120"/>
        <w:rPr/>
      </w:pPr>
      <w:r>
        <w:rPr>
          <w:rFonts w:eastAsia="Calibri" w:cs="Calibri"/>
          <w:color w:val="2C3340"/>
          <w:sz w:val="21"/>
          <w:szCs w:val="21"/>
        </w:rPr>
        <w:t>This is the hardest channel to reach because it is private — which is why the intervention is Beth herself, retrained. The method is the “rewrite the warning”: take her real words and rebuild them so they keep the intimacy and the intention but carry the truth.</w:t>
      </w:r>
      <w:r>
        <w:rPr>
          <w:rFonts w:eastAsia="Calibri" w:cs="Calibri"/>
          <w:b/>
          <w:bCs/>
          <w:color w:val="A8863F"/>
          <w:sz w:val="13"/>
          <w:szCs w:val="13"/>
          <w:vertAlign w:val="superscript"/>
        </w:rPr>
        <w:t xml:space="preserve"> [10]</w:t>
      </w:r>
    </w:p>
    <w:tbl>
      <w:tblPr>
        <w:tblW w:w="9360" w:type="dxa"/>
        <w:jc w:val="left"/>
        <w:tblInd w:w="0" w:type="dxa"/>
        <w:tblLayout w:type="fixed"/>
        <w:tblCellMar>
          <w:top w:w="90" w:type="dxa"/>
          <w:left w:w="130" w:type="dxa"/>
          <w:bottom w:w="90" w:type="dxa"/>
          <w:right w:w="130" w:type="dxa"/>
        </w:tblCellMar>
      </w:tblPr>
      <w:tblGrid>
        <w:gridCol w:w="4680"/>
        <w:gridCol w:w="4679"/>
      </w:tblGrid>
      <w:tr>
        <w:trPr>
          <w:tblHeader w:val="true"/>
        </w:trPr>
        <w:tc>
          <w:tcPr>
            <w:tcW w:w="4680" w:type="dxa"/>
            <w:tcBorders>
              <w:top w:val="single" w:sz="4" w:space="0" w:color="D9DDE5"/>
              <w:left w:val="single" w:sz="4" w:space="0" w:color="D9DDE5"/>
              <w:bottom w:val="single" w:sz="4" w:space="0" w:color="D9DDE5"/>
              <w:right w:val="single" w:sz="4" w:space="0" w:color="D9DDE5"/>
            </w:tcBorders>
            <w:shd w:fill="B5462F" w:val="clear"/>
          </w:tcPr>
          <w:p>
            <w:pPr>
              <w:pStyle w:val="Normal"/>
              <w:spacing w:lineRule="exact" w:line="252" w:before="0" w:after="0"/>
              <w:jc w:val="left"/>
              <w:rPr/>
            </w:pPr>
            <w:r>
              <w:rPr>
                <w:rFonts w:eastAsia="Calibri" w:cs="Calibri"/>
                <w:b/>
                <w:bCs/>
                <w:color w:val="FFFFFF"/>
                <w:sz w:val="20"/>
                <w:szCs w:val="20"/>
              </w:rPr>
              <w:t>Beth’s old kitchen script</w:t>
            </w:r>
          </w:p>
        </w:tc>
        <w:tc>
          <w:tcPr>
            <w:tcW w:w="4679" w:type="dxa"/>
            <w:tcBorders>
              <w:top w:val="single" w:sz="4" w:space="0" w:color="D9DDE5"/>
              <w:left w:val="single" w:sz="4" w:space="0" w:color="D9DDE5"/>
              <w:bottom w:val="single" w:sz="4" w:space="0" w:color="D9DDE5"/>
              <w:right w:val="single" w:sz="4" w:space="0" w:color="D9DDE5"/>
            </w:tcBorders>
            <w:shd w:fill="2E6B4F" w:val="clear"/>
          </w:tcPr>
          <w:p>
            <w:pPr>
              <w:pStyle w:val="Normal"/>
              <w:spacing w:lineRule="exact" w:line="252" w:before="0" w:after="0"/>
              <w:jc w:val="left"/>
              <w:rPr/>
            </w:pPr>
            <w:r>
              <w:rPr>
                <w:rFonts w:eastAsia="Calibri" w:cs="Calibri"/>
                <w:b/>
                <w:bCs/>
                <w:color w:val="FFFFFF"/>
                <w:sz w:val="20"/>
                <w:szCs w:val="20"/>
              </w:rPr>
              <w:t>Beth’s new kitchen script (same love, true facts)</w:t>
            </w:r>
          </w:p>
        </w:tc>
      </w:tr>
      <w:tr>
        <w:trPr/>
        <w:tc>
          <w:tcPr>
            <w:tcW w:w="4680" w:type="dxa"/>
            <w:tcBorders>
              <w:top w:val="single" w:sz="4" w:space="0" w:color="D9DDE5"/>
              <w:left w:val="single" w:sz="4" w:space="0" w:color="D9DDE5"/>
              <w:bottom w:val="single" w:sz="4" w:space="0" w:color="D9DDE5"/>
              <w:right w:val="single" w:sz="4" w:space="0" w:color="D9DDE5"/>
            </w:tcBorders>
            <w:shd w:fill="FDF5F2" w:val="clear"/>
          </w:tcPr>
          <w:p>
            <w:pPr>
              <w:pStyle w:val="Normal"/>
              <w:spacing w:lineRule="exact" w:line="252" w:before="0" w:after="0"/>
              <w:jc w:val="left"/>
              <w:rPr/>
            </w:pPr>
            <w:r>
              <w:rPr>
                <w:rFonts w:eastAsia="Calibri" w:cs="Calibri"/>
                <w:b w:val="false"/>
                <w:bCs w:val="false"/>
                <w:color w:val="2C3340"/>
                <w:sz w:val="20"/>
                <w:szCs w:val="20"/>
              </w:rPr>
              <w:t>“</w:t>
            </w:r>
            <w:r>
              <w:rPr>
                <w:rFonts w:eastAsia="Calibri" w:cs="Calibri"/>
                <w:b w:val="false"/>
                <w:bCs w:val="false"/>
                <w:color w:val="2C3340"/>
                <w:sz w:val="20"/>
                <w:szCs w:val="20"/>
              </w:rPr>
              <w:t>Family planning will make you barren — wait for marriage.”</w:t>
            </w:r>
          </w:p>
        </w:tc>
        <w:tc>
          <w:tcPr>
            <w:tcW w:w="4679" w:type="dxa"/>
            <w:tcBorders>
              <w:top w:val="single" w:sz="4" w:space="0" w:color="D9DDE5"/>
              <w:left w:val="single" w:sz="4" w:space="0" w:color="D9DDE5"/>
              <w:bottom w:val="single" w:sz="4" w:space="0" w:color="D9DDE5"/>
              <w:right w:val="single" w:sz="4" w:space="0" w:color="D9DDE5"/>
            </w:tcBorders>
            <w:shd w:fill="F1F7F3" w:val="clear"/>
          </w:tcPr>
          <w:p>
            <w:pPr>
              <w:pStyle w:val="Normal"/>
              <w:spacing w:lineRule="exact" w:line="252" w:before="0" w:after="0"/>
              <w:jc w:val="left"/>
              <w:rPr/>
            </w:pPr>
            <w:r>
              <w:rPr>
                <w:rFonts w:eastAsia="Calibri" w:cs="Calibri"/>
                <w:b w:val="false"/>
                <w:bCs w:val="false"/>
                <w:color w:val="2C3340"/>
                <w:sz w:val="20"/>
                <w:szCs w:val="20"/>
              </w:rPr>
              <w:t>“</w:t>
            </w:r>
            <w:r>
              <w:rPr>
                <w:rFonts w:eastAsia="Calibri" w:cs="Calibri"/>
                <w:b w:val="false"/>
                <w:bCs w:val="false"/>
                <w:color w:val="2C3340"/>
                <w:sz w:val="20"/>
                <w:szCs w:val="20"/>
              </w:rPr>
              <w:t>I want you to have healthy children when you’re ready. Spacing your births is how strong mothers plan — it doesn’t stop you having children later. Let’s ask Nurse Wanjiru together.”</w:t>
            </w:r>
          </w:p>
        </w:tc>
      </w:tr>
      <w:tr>
        <w:trPr/>
        <w:tc>
          <w:tcPr>
            <w:tcW w:w="4680" w:type="dxa"/>
            <w:tcBorders>
              <w:top w:val="single" w:sz="4" w:space="0" w:color="D9DDE5"/>
              <w:left w:val="single" w:sz="4" w:space="0" w:color="D9DDE5"/>
              <w:bottom w:val="single" w:sz="4" w:space="0" w:color="D9DDE5"/>
              <w:right w:val="single" w:sz="4" w:space="0" w:color="D9DDE5"/>
            </w:tcBorders>
            <w:shd w:fill="FBECE8" w:val="clear"/>
          </w:tcPr>
          <w:p>
            <w:pPr>
              <w:pStyle w:val="Normal"/>
              <w:spacing w:lineRule="exact" w:line="252" w:before="0" w:after="0"/>
              <w:jc w:val="left"/>
              <w:rPr/>
            </w:pPr>
            <w:r>
              <w:rPr>
                <w:rFonts w:eastAsia="Calibri" w:cs="Calibri"/>
                <w:b w:val="false"/>
                <w:bCs w:val="false"/>
                <w:color w:val="2C3340"/>
                <w:sz w:val="20"/>
                <w:szCs w:val="20"/>
              </w:rPr>
              <w:t>“</w:t>
            </w:r>
            <w:r>
              <w:rPr>
                <w:rFonts w:eastAsia="Calibri" w:cs="Calibri"/>
                <w:b w:val="false"/>
                <w:bCs w:val="false"/>
                <w:color w:val="2C3340"/>
                <w:sz w:val="20"/>
                <w:szCs w:val="20"/>
              </w:rPr>
              <w:t>Only loose girls go to the clinic alone.”</w:t>
            </w:r>
          </w:p>
        </w:tc>
        <w:tc>
          <w:tcPr>
            <w:tcW w:w="4679" w:type="dxa"/>
            <w:tcBorders>
              <w:top w:val="single" w:sz="4" w:space="0" w:color="D9DDE5"/>
              <w:left w:val="single" w:sz="4" w:space="0" w:color="D9DDE5"/>
              <w:bottom w:val="single" w:sz="4" w:space="0" w:color="D9DDE5"/>
              <w:right w:val="single" w:sz="4" w:space="0" w:color="D9DDE5"/>
            </w:tcBorders>
            <w:shd w:fill="E9F1EC" w:val="clear"/>
          </w:tcPr>
          <w:p>
            <w:pPr>
              <w:pStyle w:val="Normal"/>
              <w:spacing w:lineRule="exact" w:line="252" w:before="0" w:after="0"/>
              <w:jc w:val="left"/>
              <w:rPr/>
            </w:pPr>
            <w:r>
              <w:rPr>
                <w:rFonts w:eastAsia="Calibri" w:cs="Calibri"/>
                <w:b w:val="false"/>
                <w:bCs w:val="false"/>
                <w:color w:val="2C3340"/>
                <w:sz w:val="20"/>
                <w:szCs w:val="20"/>
              </w:rPr>
              <w:t>“</w:t>
            </w:r>
            <w:r>
              <w:rPr>
                <w:rFonts w:eastAsia="Calibri" w:cs="Calibri"/>
                <w:b w:val="false"/>
                <w:bCs w:val="false"/>
                <w:color w:val="2C3340"/>
                <w:sz w:val="20"/>
                <w:szCs w:val="20"/>
              </w:rPr>
              <w:t>A girl who looks after her health is a responsible girl. If you ever want to go, I’ll come with you — no shame in it.”</w:t>
            </w:r>
          </w:p>
        </w:tc>
      </w:tr>
      <w:tr>
        <w:trPr/>
        <w:tc>
          <w:tcPr>
            <w:tcW w:w="4680" w:type="dxa"/>
            <w:tcBorders>
              <w:top w:val="single" w:sz="4" w:space="0" w:color="D9DDE5"/>
              <w:left w:val="single" w:sz="4" w:space="0" w:color="D9DDE5"/>
              <w:bottom w:val="single" w:sz="4" w:space="0" w:color="D9DDE5"/>
              <w:right w:val="single" w:sz="4" w:space="0" w:color="D9DDE5"/>
            </w:tcBorders>
            <w:shd w:fill="FDF5F2" w:val="clear"/>
          </w:tcPr>
          <w:p>
            <w:pPr>
              <w:pStyle w:val="Normal"/>
              <w:spacing w:lineRule="exact" w:line="252" w:before="0" w:after="0"/>
              <w:jc w:val="left"/>
              <w:rPr/>
            </w:pPr>
            <w:r>
              <w:rPr>
                <w:rFonts w:eastAsia="Calibri" w:cs="Calibri"/>
                <w:b w:val="false"/>
                <w:bCs w:val="false"/>
                <w:color w:val="2C3340"/>
                <w:sz w:val="20"/>
                <w:szCs w:val="20"/>
              </w:rPr>
              <w:t>“</w:t>
            </w:r>
            <w:r>
              <w:rPr>
                <w:rFonts w:eastAsia="Calibri" w:cs="Calibri"/>
                <w:b w:val="false"/>
                <w:bCs w:val="false"/>
                <w:color w:val="2C3340"/>
                <w:sz w:val="20"/>
                <w:szCs w:val="20"/>
              </w:rPr>
              <w:t>Marry by twenty and start early.”</w:t>
            </w:r>
          </w:p>
        </w:tc>
        <w:tc>
          <w:tcPr>
            <w:tcW w:w="4679" w:type="dxa"/>
            <w:tcBorders>
              <w:top w:val="single" w:sz="4" w:space="0" w:color="D9DDE5"/>
              <w:left w:val="single" w:sz="4" w:space="0" w:color="D9DDE5"/>
              <w:bottom w:val="single" w:sz="4" w:space="0" w:color="D9DDE5"/>
              <w:right w:val="single" w:sz="4" w:space="0" w:color="D9DDE5"/>
            </w:tcBorders>
            <w:shd w:fill="F1F7F3" w:val="clear"/>
          </w:tcPr>
          <w:p>
            <w:pPr>
              <w:pStyle w:val="Normal"/>
              <w:spacing w:lineRule="exact" w:line="252" w:before="0" w:after="0"/>
              <w:jc w:val="left"/>
              <w:rPr/>
            </w:pPr>
            <w:r>
              <w:rPr>
                <w:rFonts w:eastAsia="Calibri" w:cs="Calibri"/>
                <w:b w:val="false"/>
                <w:bCs w:val="false"/>
                <w:color w:val="2C3340"/>
                <w:sz w:val="20"/>
                <w:szCs w:val="20"/>
              </w:rPr>
              <w:t>“</w:t>
            </w:r>
            <w:r>
              <w:rPr>
                <w:rFonts w:eastAsia="Calibri" w:cs="Calibri"/>
                <w:b w:val="false"/>
                <w:bCs w:val="false"/>
                <w:color w:val="2C3340"/>
                <w:sz w:val="20"/>
                <w:szCs w:val="20"/>
              </w:rPr>
              <w:t>Finish your training first — a nurse with her own income is a strong woman. Children will come when you and your husband are ready.”</w:t>
            </w:r>
          </w:p>
        </w:tc>
      </w:tr>
    </w:tbl>
    <w:p>
      <w:pPr>
        <w:pStyle w:val="Normal"/>
        <w:spacing w:before="0" w:after="100"/>
        <w:rPr/>
      </w:pPr>
      <w:r>
        <w:rPr/>
      </w:r>
    </w:p>
    <w:p>
      <w:pPr>
        <w:pStyle w:val="Heading3"/>
        <w:keepNext w:val="true"/>
        <w:spacing w:before="180" w:after="70"/>
        <w:rPr/>
      </w:pPr>
      <w:r>
        <w:rPr>
          <w:rFonts w:eastAsia="Calibri" w:cs="Calibri" w:ascii="Calibri" w:hAnsi="Calibri"/>
          <w:b/>
          <w:bCs/>
          <w:color w:val="A8863F"/>
          <w:sz w:val="22"/>
          <w:szCs w:val="22"/>
        </w:rPr>
        <w:t>In the family WhatsApp group</w:t>
      </w:r>
    </w:p>
    <w:p>
      <w:pPr>
        <w:pStyle w:val="Normal"/>
        <w:spacing w:lineRule="exact" w:line="268" w:before="0" w:after="120"/>
        <w:rPr/>
      </w:pPr>
      <w:r>
        <w:rPr>
          <w:rFonts w:eastAsia="Calibri" w:cs="Calibri"/>
          <w:color w:val="2C3340"/>
          <w:sz w:val="21"/>
          <w:szCs w:val="21"/>
        </w:rPr>
        <w:t>Because the group is closed and Beth is the admin, no outside correction can enter — only Beth’s can. So the intervention trains Beth to be the group’s calm corrector, using the truth-sandwich structure (fact → myth once → why it spreads → fact) in a short, forwardable message.</w:t>
      </w:r>
      <w:r>
        <w:rPr>
          <w:rFonts w:eastAsia="Calibri" w:cs="Calibri"/>
          <w:b/>
          <w:bCs/>
          <w:color w:val="A8863F"/>
          <w:sz w:val="13"/>
          <w:szCs w:val="13"/>
          <w:vertAlign w:val="superscript"/>
        </w:rPr>
        <w:t xml:space="preserve"> [10]</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EEF1F6"/>
              <w:left w:val="single" w:sz="28" w:space="0" w:color="222B42"/>
              <w:bottom w:val="single" w:sz="2" w:space="0" w:color="EEF1F6"/>
              <w:right w:val="single" w:sz="2" w:space="0" w:color="EEF1F6"/>
            </w:tcBorders>
            <w:shd w:fill="EEF1F6" w:val="clear"/>
          </w:tcPr>
          <w:p>
            <w:pPr>
              <w:pStyle w:val="Normal"/>
              <w:spacing w:before="0" w:after="60"/>
              <w:rPr/>
            </w:pPr>
            <w:r>
              <w:rPr>
                <w:rFonts w:eastAsia="Calibri" w:cs="Calibri"/>
                <w:b/>
                <w:bCs/>
                <w:color w:val="111827"/>
                <w:sz w:val="19"/>
                <w:szCs w:val="19"/>
              </w:rPr>
              <w:t>A message Beth can post in her own group</w:t>
            </w:r>
          </w:p>
          <w:p>
            <w:pPr>
              <w:pStyle w:val="Normal"/>
              <w:spacing w:lineRule="exact" w:line="264" w:before="0" w:after="0"/>
              <w:rPr/>
            </w:pPr>
            <w:r>
              <w:rPr>
                <w:rFonts w:eastAsia="Calibri" w:cs="Calibri"/>
                <w:i/>
                <w:iCs/>
                <w:color w:val="222B42"/>
                <w:sz w:val="20"/>
                <w:szCs w:val="20"/>
              </w:rPr>
              <w:t>“</w:t>
            </w:r>
            <w:r>
              <w:rPr>
                <w:rFonts w:eastAsia="Calibri" w:cs="Calibri"/>
                <w:i/>
                <w:iCs/>
                <w:color w:val="222B42"/>
                <w:sz w:val="20"/>
                <w:szCs w:val="20"/>
              </w:rPr>
              <w:t>My people, I checked this one with the nurse. Family planning does NOT make a woman barren — your fertility returns after you stop. I know we all heard otherwise from people who love us, but it isn’t true. Let’s protect our girls with the right information. 🙏”</w:t>
            </w:r>
          </w:p>
        </w:tc>
      </w:tr>
    </w:tbl>
    <w:p>
      <w:pPr>
        <w:pStyle w:val="Normal"/>
        <w:spacing w:before="0" w:after="120"/>
        <w:rPr/>
      </w:pPr>
      <w:r>
        <w:rPr/>
      </w:r>
    </w:p>
    <w:p>
      <w:pPr>
        <w:pStyle w:val="ListParagraph"/>
        <w:numPr>
          <w:ilvl w:val="0"/>
          <w:numId w:val="9"/>
        </w:numPr>
        <w:spacing w:lineRule="exact" w:line="258" w:before="0" w:after="70"/>
        <w:rPr/>
      </w:pPr>
      <w:r>
        <w:rPr>
          <w:rFonts w:eastAsia="Calibri" w:cs="Calibri"/>
          <w:b/>
          <w:bCs/>
          <w:i w:val="false"/>
          <w:iCs w:val="false"/>
          <w:color w:val="222B42"/>
          <w:sz w:val="21"/>
          <w:szCs w:val="21"/>
        </w:rPr>
        <w:t xml:space="preserve">Recruit the admins. </w:t>
      </w:r>
      <w:r>
        <w:rPr>
          <w:rFonts w:eastAsia="Calibri" w:cs="Calibri"/>
          <w:b w:val="false"/>
          <w:bCs w:val="false"/>
          <w:i w:val="false"/>
          <w:iCs w:val="false"/>
          <w:color w:val="2C3340"/>
          <w:sz w:val="21"/>
          <w:szCs w:val="21"/>
        </w:rPr>
        <w:t>The person who can correct a family group is the person who runs it. Map and train the Beths.</w:t>
      </w:r>
    </w:p>
    <w:p>
      <w:pPr>
        <w:pStyle w:val="ListParagraph"/>
        <w:numPr>
          <w:ilvl w:val="0"/>
          <w:numId w:val="1"/>
        </w:numPr>
        <w:spacing w:lineRule="exact" w:line="258" w:before="0" w:after="70"/>
        <w:rPr/>
      </w:pPr>
      <w:r>
        <w:rPr>
          <w:rFonts w:eastAsia="Calibri" w:cs="Calibri"/>
          <w:b/>
          <w:bCs/>
          <w:i w:val="false"/>
          <w:iCs w:val="false"/>
          <w:color w:val="222B42"/>
          <w:sz w:val="21"/>
          <w:szCs w:val="21"/>
        </w:rPr>
        <w:t xml:space="preserve">Give them ready assets. </w:t>
      </w:r>
      <w:r>
        <w:rPr>
          <w:rFonts w:eastAsia="Calibri" w:cs="Calibri"/>
          <w:b w:val="false"/>
          <w:bCs w:val="false"/>
          <w:i w:val="false"/>
          <w:iCs w:val="false"/>
          <w:color w:val="2C3340"/>
          <w:sz w:val="21"/>
          <w:szCs w:val="21"/>
        </w:rPr>
        <w:t>Supply forwardable Kiswahili voice notes and images so correcting is one tap, not an essay.</w:t>
      </w:r>
    </w:p>
    <w:p>
      <w:pPr>
        <w:pStyle w:val="ListParagraph"/>
        <w:numPr>
          <w:ilvl w:val="0"/>
          <w:numId w:val="1"/>
        </w:numPr>
        <w:spacing w:lineRule="exact" w:line="258" w:before="0" w:after="70"/>
        <w:rPr/>
      </w:pPr>
      <w:r>
        <w:rPr>
          <w:rFonts w:eastAsia="Calibri" w:cs="Calibri"/>
          <w:b/>
          <w:bCs/>
          <w:i w:val="false"/>
          <w:iCs w:val="false"/>
          <w:color w:val="222B42"/>
          <w:sz w:val="21"/>
          <w:szCs w:val="21"/>
        </w:rPr>
        <w:t xml:space="preserve">Never quote the myth louder than the fact. </w:t>
      </w:r>
      <w:r>
        <w:rPr>
          <w:rFonts w:eastAsia="Calibri" w:cs="Calibri"/>
          <w:b w:val="false"/>
          <w:bCs w:val="false"/>
          <w:i w:val="false"/>
          <w:iCs w:val="false"/>
          <w:color w:val="2C3340"/>
          <w:sz w:val="21"/>
          <w:szCs w:val="21"/>
        </w:rPr>
        <w:t>Lead with the truth; state the myth once; do not amplify it.</w:t>
      </w:r>
    </w:p>
    <w:p>
      <w:pPr>
        <w:pStyle w:val="Heading3"/>
        <w:keepNext w:val="true"/>
        <w:spacing w:before="180" w:after="70"/>
        <w:rPr/>
      </w:pPr>
      <w:r>
        <w:rPr>
          <w:rFonts w:eastAsia="Calibri" w:cs="Calibri" w:ascii="Calibri" w:hAnsi="Calibri"/>
          <w:b/>
          <w:bCs/>
          <w:color w:val="A8863F"/>
          <w:sz w:val="22"/>
          <w:szCs w:val="22"/>
        </w:rPr>
        <w:t>At ceremonies &amp; women’s gatherings</w:t>
      </w:r>
    </w:p>
    <w:p>
      <w:pPr>
        <w:pStyle w:val="Normal"/>
        <w:spacing w:lineRule="exact" w:line="268" w:before="0" w:after="120"/>
        <w:rPr/>
      </w:pPr>
      <w:r>
        <w:rPr>
          <w:rFonts w:eastAsia="Calibri" w:cs="Calibri"/>
          <w:color w:val="2C3340"/>
          <w:sz w:val="21"/>
          <w:szCs w:val="21"/>
        </w:rPr>
        <w:t>Here the norm is stated publicly, so the interruption must also be public and carried by peers. A champion aunty who has reached Stage 4 stating a new norm at a women’s group — “these days we let our girls finish school first” — resets what the room believes is approved. This is diffusion of innovations: a respected insider gives everyone else permission to follow.</w:t>
      </w:r>
      <w:r>
        <w:rPr>
          <w:rFonts w:eastAsia="Calibri" w:cs="Calibri"/>
          <w:b/>
          <w:bCs/>
          <w:color w:val="A8863F"/>
          <w:sz w:val="13"/>
          <w:szCs w:val="13"/>
          <w:vertAlign w:val="superscript"/>
        </w:rPr>
        <w:t xml:space="preserve"> [5]</w:t>
      </w:r>
    </w:p>
    <w:p>
      <w:pPr>
        <w:pStyle w:val="Heading3"/>
        <w:keepNext w:val="true"/>
        <w:spacing w:before="180" w:after="70"/>
        <w:rPr/>
      </w:pPr>
      <w:r>
        <w:rPr>
          <w:rFonts w:eastAsia="Calibri" w:cs="Calibri" w:ascii="Calibri" w:hAnsi="Calibri"/>
          <w:b/>
          <w:bCs/>
          <w:color w:val="A8863F"/>
          <w:sz w:val="22"/>
          <w:szCs w:val="22"/>
        </w:rPr>
        <w:t>At the clinic and the doorstep</w:t>
      </w:r>
    </w:p>
    <w:p>
      <w:pPr>
        <w:pStyle w:val="Normal"/>
        <w:spacing w:lineRule="exact" w:line="268" w:before="0" w:after="120"/>
        <w:rPr/>
      </w:pPr>
      <w:r>
        <w:rPr>
          <w:rFonts w:eastAsia="Calibri" w:cs="Calibri"/>
          <w:color w:val="2C3340"/>
          <w:sz w:val="21"/>
          <w:szCs w:val="21"/>
        </w:rPr>
        <w:t>Community health promoters are the bridge into the kitchen the programme itself cannot enter. Brief every CHP on the pathway and the new scripts so that when they visit the home, they reinforce — not contradict — the change Beth is making.</w:t>
      </w:r>
      <w:r>
        <w:rPr>
          <w:rFonts w:eastAsia="Calibri" w:cs="Calibri"/>
          <w:b/>
          <w:bCs/>
          <w:color w:val="A8863F"/>
          <w:sz w:val="13"/>
          <w:szCs w:val="13"/>
          <w:vertAlign w:val="superscript"/>
        </w:rPr>
        <w:t xml:space="preserve"> [1]</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EDF3EF"/>
              <w:left w:val="single" w:sz="28" w:space="0" w:color="2E6B4F"/>
              <w:bottom w:val="single" w:sz="2" w:space="0" w:color="EDF3EF"/>
              <w:right w:val="single" w:sz="2" w:space="0" w:color="EDF3EF"/>
            </w:tcBorders>
            <w:shd w:fill="EDF3EF" w:val="clear"/>
          </w:tcPr>
          <w:p>
            <w:pPr>
              <w:pStyle w:val="Normal"/>
              <w:spacing w:before="0" w:after="60"/>
              <w:rPr/>
            </w:pPr>
            <w:r>
              <w:rPr>
                <w:rFonts w:eastAsia="Calibri" w:cs="Calibri"/>
                <w:b/>
                <w:bCs/>
                <w:color w:val="2E6B4F"/>
                <w:spacing w:val="30"/>
                <w:sz w:val="14"/>
                <w:szCs w:val="14"/>
              </w:rPr>
              <w:t>ENTRY POINTS FOR YOUR ORGANISATION</w:t>
            </w:r>
            <w:r>
              <w:rPr>
                <w:rFonts w:eastAsia="Calibri" w:cs="Calibri"/>
                <w:b/>
                <w:bCs/>
                <w:color w:val="2E6B4F"/>
                <w:sz w:val="18"/>
                <w:szCs w:val="18"/>
              </w:rPr>
              <w:t xml:space="preserve">   ·   Wiring the interruption into your programme</w:t>
            </w:r>
          </w:p>
          <w:p>
            <w:pPr>
              <w:pStyle w:val="Normal"/>
              <w:spacing w:lineRule="exact" w:line="262" w:before="0" w:after="58"/>
              <w:rPr/>
            </w:pPr>
            <w:r>
              <w:rPr>
                <w:rFonts w:eastAsia="Calibri" w:cs="Calibri"/>
                <w:b/>
                <w:bCs/>
                <w:color w:val="2E6B4F"/>
                <w:sz w:val="20"/>
                <w:szCs w:val="20"/>
              </w:rPr>
              <w:t xml:space="preserve">→  </w:t>
            </w:r>
            <w:r>
              <w:rPr>
                <w:rFonts w:eastAsia="Calibri" w:cs="Calibri"/>
                <w:color w:val="2C3340"/>
                <w:sz w:val="20"/>
                <w:szCs w:val="20"/>
              </w:rPr>
              <w:t>Map the champion aunties and family-group admins in your catchment — they are your delivery network.</w:t>
            </w:r>
          </w:p>
          <w:p>
            <w:pPr>
              <w:pStyle w:val="Normal"/>
              <w:spacing w:lineRule="exact" w:line="262" w:before="0" w:after="58"/>
              <w:rPr/>
            </w:pPr>
            <w:r>
              <w:rPr>
                <w:rFonts w:eastAsia="Calibri" w:cs="Calibri"/>
                <w:b/>
                <w:bCs/>
                <w:color w:val="2E6B4F"/>
                <w:sz w:val="20"/>
                <w:szCs w:val="20"/>
              </w:rPr>
              <w:t xml:space="preserve">→  </w:t>
            </w:r>
            <w:r>
              <w:rPr>
                <w:rFonts w:eastAsia="Calibri" w:cs="Calibri"/>
                <w:color w:val="2C3340"/>
                <w:sz w:val="20"/>
                <w:szCs w:val="20"/>
              </w:rPr>
              <w:t>Produce the new-script kitchen cards and WhatsApp voice notes in Kiswahili and local languages.</w:t>
            </w:r>
          </w:p>
          <w:p>
            <w:pPr>
              <w:pStyle w:val="Normal"/>
              <w:spacing w:lineRule="exact" w:line="262" w:before="0" w:after="58"/>
              <w:rPr/>
            </w:pPr>
            <w:r>
              <w:rPr>
                <w:rFonts w:eastAsia="Calibri" w:cs="Calibri"/>
                <w:b/>
                <w:bCs/>
                <w:color w:val="2E6B4F"/>
                <w:sz w:val="20"/>
                <w:szCs w:val="20"/>
              </w:rPr>
              <w:t xml:space="preserve">→  </w:t>
            </w:r>
            <w:r>
              <w:rPr>
                <w:rFonts w:eastAsia="Calibri" w:cs="Calibri"/>
                <w:color w:val="2C3340"/>
                <w:sz w:val="20"/>
                <w:szCs w:val="20"/>
              </w:rPr>
              <w:t>Brief every CHP and mobiliser on the gatekeeper→champion pathway so home visits reinforce it.</w:t>
            </w:r>
          </w:p>
          <w:p>
            <w:pPr>
              <w:pStyle w:val="Normal"/>
              <w:spacing w:lineRule="exact" w:line="262" w:before="0" w:after="0"/>
              <w:rPr/>
            </w:pPr>
            <w:r>
              <w:rPr>
                <w:rFonts w:eastAsia="Calibri" w:cs="Calibri"/>
                <w:b/>
                <w:bCs/>
                <w:color w:val="2E6B4F"/>
                <w:sz w:val="20"/>
                <w:szCs w:val="20"/>
              </w:rPr>
              <w:t xml:space="preserve">→  </w:t>
            </w:r>
            <w:r>
              <w:rPr>
                <w:rFonts w:eastAsia="Calibri" w:cs="Calibri"/>
                <w:color w:val="2C3340"/>
                <w:sz w:val="20"/>
                <w:szCs w:val="20"/>
              </w:rPr>
              <w:t>Create a public platform (radio, women’s groups) for Stage-4 champions to state the new norm.</w:t>
            </w:r>
          </w:p>
        </w:tc>
      </w:tr>
    </w:tbl>
    <w:p>
      <w:pPr>
        <w:pStyle w:val="Normal"/>
        <w:spacing w:before="0" w:after="150"/>
        <w:rPr/>
      </w:pPr>
      <w:r>
        <w:rPr/>
      </w:r>
      <w:r>
        <w:br w:type="page"/>
      </w:r>
    </w:p>
    <w:p>
      <w:pPr>
        <w:pStyle w:val="Normal"/>
        <w:keepNext w:val="true"/>
        <w:spacing w:before="0" w:after="40"/>
        <w:rPr/>
      </w:pPr>
      <w:r>
        <w:rPr>
          <w:rFonts w:eastAsia="Calibri" w:cs="Calibri"/>
          <w:b/>
          <w:bCs/>
          <w:color w:val="C6A15B"/>
          <w:spacing w:val="30"/>
          <w:sz w:val="16"/>
          <w:szCs w:val="16"/>
        </w:rPr>
        <w:t>PART D</w:t>
      </w:r>
    </w:p>
    <w:p>
      <w:pPr>
        <w:pStyle w:val="Heading1"/>
        <w:keepNext w:val="true"/>
        <w:pBdr>
          <w:bottom w:val="single" w:sz="12" w:space="6" w:color="C6A15B"/>
        </w:pBdr>
        <w:spacing w:before="320" w:after="140"/>
        <w:rPr/>
      </w:pPr>
      <w:r>
        <w:rPr>
          <w:rFonts w:eastAsia="Calibri" w:cs="Calibri" w:ascii="Calibri" w:hAnsi="Calibri"/>
          <w:b/>
          <w:bCs/>
          <w:color w:val="111827"/>
          <w:sz w:val="30"/>
          <w:szCs w:val="30"/>
        </w:rPr>
        <w:t>The five-session curriculum</w:t>
      </w:r>
    </w:p>
    <w:p>
      <w:pPr>
        <w:pStyle w:val="Normal"/>
        <w:spacing w:lineRule="exact" w:line="268" w:before="0" w:after="120"/>
        <w:rPr/>
      </w:pPr>
      <w:r>
        <w:rPr>
          <w:rFonts w:eastAsia="Calibri" w:cs="Calibri"/>
          <w:color w:val="2C3340"/>
          <w:sz w:val="21"/>
          <w:szCs w:val="21"/>
        </w:rPr>
        <w:t>This is the facilitated programme itself: five sessions that walk a group of 10–15 older women along the pathway from gatekeeper to champion. Run weekly or fortnightly, ideally in a familiar community space, with tea. Keep groups small enough for everyone to speak. A clinician (a Nurse Wanjiru) co-facilitates Sessions 2 and 5.</w:t>
      </w:r>
      <w:r>
        <w:rPr>
          <w:rFonts w:eastAsia="Calibri" w:cs="Calibri"/>
          <w:b/>
          <w:bCs/>
          <w:color w:val="A8863F"/>
          <w:sz w:val="13"/>
          <w:szCs w:val="13"/>
          <w:vertAlign w:val="superscript"/>
        </w:rPr>
        <w:t xml:space="preserve"> [1]</w:t>
      </w:r>
      <w:r>
        <w:br w:type="page"/>
      </w:r>
    </w:p>
    <w:p>
      <w:pPr>
        <w:pStyle w:val="Normal"/>
        <w:keepNext w:val="true"/>
        <w:spacing w:before="0" w:after="40"/>
        <w:rPr/>
      </w:pPr>
      <w:r>
        <w:rPr>
          <w:rFonts w:eastAsia="Calibri" w:cs="Calibri"/>
          <w:b/>
          <w:bCs/>
          <w:color w:val="C6A15B"/>
          <w:spacing w:val="30"/>
          <w:sz w:val="16"/>
          <w:szCs w:val="16"/>
        </w:rPr>
        <w:t>SESSION 1</w:t>
      </w:r>
    </w:p>
    <w:p>
      <w:pPr>
        <w:pStyle w:val="Heading1"/>
        <w:keepNext w:val="true"/>
        <w:pBdr>
          <w:bottom w:val="single" w:sz="12" w:space="6" w:color="C6A15B"/>
        </w:pBdr>
        <w:spacing w:before="320" w:after="140"/>
        <w:rPr/>
      </w:pPr>
      <w:r>
        <w:rPr>
          <w:rFonts w:eastAsia="Calibri" w:cs="Calibri" w:ascii="Calibri" w:hAnsi="Calibri"/>
          <w:b/>
          <w:bCs/>
          <w:color w:val="C6A15B"/>
          <w:sz w:val="30"/>
          <w:szCs w:val="30"/>
        </w:rPr>
        <w:t xml:space="preserve">S1  </w:t>
      </w:r>
      <w:r>
        <w:rPr>
          <w:rFonts w:eastAsia="Calibri" w:cs="Calibri" w:ascii="Calibri" w:hAnsi="Calibri"/>
          <w:b/>
          <w:bCs/>
          <w:color w:val="111827"/>
          <w:sz w:val="30"/>
          <w:szCs w:val="30"/>
        </w:rPr>
        <w:t>Our role, and our love</w:t>
      </w:r>
    </w:p>
    <w:tbl>
      <w:tblPr>
        <w:tblW w:w="9360" w:type="dxa"/>
        <w:jc w:val="left"/>
        <w:tblInd w:w="0" w:type="dxa"/>
        <w:tblLayout w:type="fixed"/>
        <w:tblCellMar>
          <w:top w:w="90" w:type="dxa"/>
          <w:left w:w="130" w:type="dxa"/>
          <w:bottom w:w="90" w:type="dxa"/>
          <w:right w:w="130" w:type="dxa"/>
        </w:tblCellMar>
      </w:tblPr>
      <w:tblGrid>
        <w:gridCol w:w="2100"/>
        <w:gridCol w:w="7259"/>
      </w:tblGrid>
      <w:tr>
        <w:trPr>
          <w:tblHeader w:val="true"/>
        </w:trPr>
        <w:tc>
          <w:tcPr>
            <w:tcW w:w="2100" w:type="dxa"/>
            <w:tcBorders>
              <w:top w:val="single" w:sz="4" w:space="0" w:color="D9DDE5"/>
              <w:left w:val="single" w:sz="4" w:space="0" w:color="D9DDE5"/>
              <w:bottom w:val="single" w:sz="4" w:space="0" w:color="D9DDE5"/>
              <w:right w:val="single" w:sz="4" w:space="0" w:color="D9DDE5"/>
            </w:tcBorders>
            <w:shd w:fill="222B42" w:val="clear"/>
          </w:tcPr>
          <w:p>
            <w:pPr>
              <w:pStyle w:val="Normal"/>
              <w:spacing w:lineRule="exact" w:line="252" w:before="0" w:after="0"/>
              <w:jc w:val="left"/>
              <w:rPr/>
            </w:pPr>
            <w:r>
              <w:rPr>
                <w:rFonts w:eastAsia="Calibri" w:cs="Calibri"/>
                <w:b/>
                <w:bCs/>
                <w:color w:val="FFFFFF"/>
                <w:sz w:val="19"/>
                <w:szCs w:val="19"/>
              </w:rPr>
              <w:t>Field</w:t>
            </w:r>
          </w:p>
        </w:tc>
        <w:tc>
          <w:tcPr>
            <w:tcW w:w="7259" w:type="dxa"/>
            <w:tcBorders>
              <w:top w:val="single" w:sz="4" w:space="0" w:color="D9DDE5"/>
              <w:left w:val="single" w:sz="4" w:space="0" w:color="D9DDE5"/>
              <w:bottom w:val="single" w:sz="4" w:space="0" w:color="D9DDE5"/>
              <w:right w:val="single" w:sz="4" w:space="0" w:color="D9DDE5"/>
            </w:tcBorders>
            <w:shd w:fill="222B42" w:val="clear"/>
          </w:tcPr>
          <w:p>
            <w:pPr>
              <w:pStyle w:val="Normal"/>
              <w:spacing w:lineRule="exact" w:line="252" w:before="0" w:after="0"/>
              <w:jc w:val="left"/>
              <w:rPr/>
            </w:pPr>
            <w:r>
              <w:rPr>
                <w:rFonts w:eastAsia="Calibri" w:cs="Calibri"/>
                <w:b/>
                <w:bCs/>
                <w:color w:val="FFFFFF"/>
                <w:sz w:val="19"/>
                <w:szCs w:val="19"/>
              </w:rPr>
              <w:t>Detail</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Duration</w:t>
            </w:r>
          </w:p>
        </w:tc>
        <w:tc>
          <w:tcPr>
            <w:tcW w:w="7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2 hours</w:t>
            </w:r>
          </w:p>
        </w:tc>
      </w:tr>
      <w:tr>
        <w:trPr/>
        <w:tc>
          <w:tcPr>
            <w:tcW w:w="21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Participants</w:t>
            </w:r>
          </w:p>
        </w:tc>
        <w:tc>
          <w:tcPr>
            <w:tcW w:w="72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10–15 older women (mothers, aunties, mothers-in-law, grandmothers)</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Objectives</w:t>
            </w:r>
          </w:p>
        </w:tc>
        <w:tc>
          <w:tcPr>
            <w:tcW w:w="7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Establish trust; honour the participants’ role; surface (without judging) the advice they currently give.</w:t>
            </w:r>
          </w:p>
        </w:tc>
      </w:tr>
      <w:tr>
        <w:trPr/>
        <w:tc>
          <w:tcPr>
            <w:tcW w:w="21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Materials</w:t>
            </w:r>
          </w:p>
        </w:tc>
        <w:tc>
          <w:tcPr>
            <w:tcW w:w="72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Tea; name cards; flip chart; the “warnings we give” cards</w:t>
            </w:r>
          </w:p>
        </w:tc>
      </w:tr>
    </w:tbl>
    <w:p>
      <w:pPr>
        <w:pStyle w:val="Heading3"/>
        <w:keepNext w:val="true"/>
        <w:spacing w:before="180" w:after="70"/>
        <w:rPr/>
      </w:pPr>
      <w:r>
        <w:rPr>
          <w:rFonts w:eastAsia="Calibri" w:cs="Calibri" w:ascii="Calibri" w:hAnsi="Calibri"/>
          <w:b/>
          <w:bCs/>
          <w:color w:val="A8863F"/>
          <w:sz w:val="22"/>
          <w:szCs w:val="22"/>
        </w:rPr>
        <w:t>Facilitator flow</w:t>
      </w:r>
    </w:p>
    <w:p>
      <w:pPr>
        <w:pStyle w:val="ListParagraph"/>
        <w:numPr>
          <w:ilvl w:val="0"/>
          <w:numId w:val="10"/>
        </w:numPr>
        <w:spacing w:lineRule="exact" w:line="258" w:before="0" w:after="70"/>
        <w:rPr/>
      </w:pPr>
      <w:r>
        <w:rPr>
          <w:rFonts w:eastAsia="Calibri" w:cs="Calibri"/>
          <w:b w:val="false"/>
          <w:bCs w:val="false"/>
          <w:i w:val="false"/>
          <w:iCs w:val="false"/>
          <w:caps w:val="false"/>
          <w:smallCaps w:val="false"/>
          <w:color w:val="2C3340"/>
          <w:sz w:val="21"/>
          <w:szCs w:val="21"/>
        </w:rPr>
        <w:t>Welcome and tea. Open by honouring their role: they are the most trusted advisors in their families. This is not a class that will correct them; it is a conversation among respected women.</w:t>
      </w:r>
    </w:p>
    <w:p>
      <w:pPr>
        <w:pStyle w:val="ListParagraph"/>
        <w:numPr>
          <w:ilvl w:val="0"/>
          <w:numId w:val="2"/>
        </w:numPr>
        <w:spacing w:lineRule="exact" w:line="258" w:before="0" w:after="70"/>
        <w:rPr/>
      </w:pPr>
      <w:r>
        <w:rPr>
          <w:rFonts w:eastAsia="Calibri" w:cs="Calibri"/>
          <w:b w:val="false"/>
          <w:bCs w:val="false"/>
          <w:i w:val="false"/>
          <w:iCs w:val="false"/>
          <w:caps w:val="false"/>
          <w:smallCaps w:val="false"/>
          <w:color w:val="2C3340"/>
          <w:sz w:val="21"/>
          <w:szCs w:val="21"/>
        </w:rPr>
        <w:t>Round: “What did your mother or aunty tell you about your body when you were young?” Let the stories flow; write the recurring warnings on the flip chart without comment.</w:t>
      </w:r>
    </w:p>
    <w:p>
      <w:pPr>
        <w:pStyle w:val="ListParagraph"/>
        <w:numPr>
          <w:ilvl w:val="0"/>
          <w:numId w:val="2"/>
        </w:numPr>
        <w:spacing w:lineRule="exact" w:line="258" w:before="0" w:after="70"/>
        <w:rPr/>
      </w:pPr>
      <w:r>
        <w:rPr>
          <w:rFonts w:eastAsia="Calibri" w:cs="Calibri"/>
          <w:b w:val="false"/>
          <w:bCs w:val="false"/>
          <w:i w:val="false"/>
          <w:iCs w:val="false"/>
          <w:caps w:val="false"/>
          <w:smallCaps w:val="false"/>
          <w:color w:val="2C3340"/>
          <w:sz w:val="21"/>
          <w:szCs w:val="21"/>
        </w:rPr>
        <w:t>Reflect together: which of these are we still passing on? Not “are they wrong” — just “what do we say?”</w:t>
      </w:r>
    </w:p>
    <w:p>
      <w:pPr>
        <w:pStyle w:val="ListParagraph"/>
        <w:numPr>
          <w:ilvl w:val="0"/>
          <w:numId w:val="2"/>
        </w:numPr>
        <w:spacing w:lineRule="exact" w:line="258" w:before="0" w:after="70"/>
        <w:rPr/>
      </w:pPr>
      <w:r>
        <w:rPr>
          <w:rFonts w:eastAsia="Calibri" w:cs="Calibri"/>
          <w:b w:val="false"/>
          <w:bCs w:val="false"/>
          <w:i w:val="false"/>
          <w:iCs w:val="false"/>
          <w:caps w:val="false"/>
          <w:smallCaps w:val="false"/>
          <w:color w:val="2C3340"/>
          <w:sz w:val="21"/>
          <w:szCs w:val="21"/>
        </w:rPr>
        <w:t>Close on the shared value: everything on this chart was said out of love, to protect a girl. Hold that. Next time we will look, together, at which parts are still true.</w:t>
      </w:r>
    </w:p>
    <w:p>
      <w:pPr>
        <w:pStyle w:val="Normal"/>
        <w:spacing w:before="0" w:after="80"/>
        <w:rPr/>
      </w:pPr>
      <w:r>
        <w:rPr/>
      </w:r>
    </w:p>
    <w:p>
      <w:pPr>
        <w:pStyle w:val="Normal"/>
        <w:spacing w:lineRule="exact" w:line="262" w:before="0" w:after="70"/>
        <w:ind w:left="220"/>
        <w:rPr/>
      </w:pPr>
      <w:r>
        <w:rPr>
          <w:rFonts w:eastAsia="Calibri" w:cs="Calibri"/>
          <w:b/>
          <w:bCs/>
          <w:i/>
          <w:iCs/>
          <w:color w:val="A8863F"/>
          <w:sz w:val="19"/>
          <w:szCs w:val="19"/>
        </w:rPr>
        <w:t xml:space="preserve">Say: </w:t>
      </w:r>
      <w:r>
        <w:rPr>
          <w:rFonts w:eastAsia="Calibri" w:cs="Calibri"/>
          <w:i/>
          <w:iCs/>
          <w:color w:val="222B42"/>
          <w:sz w:val="20"/>
          <w:szCs w:val="20"/>
        </w:rPr>
        <w:t>“None of us is here because we did anything wrong. We are here because our girls listen to us more than to anyone — and that is a gift. Let us use it well, together.”</w:t>
      </w:r>
    </w:p>
    <w:p>
      <w:pPr>
        <w:pStyle w:val="Normal"/>
        <w:spacing w:lineRule="exact" w:line="258" w:before="0" w:after="60"/>
        <w:rPr/>
      </w:pPr>
      <w:r>
        <w:rPr>
          <w:rFonts w:eastAsia="Calibri" w:cs="Calibri"/>
          <w:b/>
          <w:bCs/>
          <w:color w:val="222B42"/>
          <w:sz w:val="21"/>
          <w:szCs w:val="21"/>
        </w:rPr>
        <w:t xml:space="preserve">Take-home.  </w:t>
      </w:r>
      <w:r>
        <w:rPr>
          <w:rFonts w:eastAsia="Calibri" w:cs="Calibri"/>
          <w:color w:val="2C3340"/>
          <w:sz w:val="21"/>
          <w:szCs w:val="21"/>
        </w:rPr>
        <w:t>Each woman notices, over the week, one piece of advice she hears an aunty give a young woman — and brings it back.</w:t>
      </w:r>
      <w:r>
        <w:br w:type="page"/>
      </w:r>
    </w:p>
    <w:p>
      <w:pPr>
        <w:pStyle w:val="Normal"/>
        <w:keepNext w:val="true"/>
        <w:spacing w:before="0" w:after="40"/>
        <w:rPr/>
      </w:pPr>
      <w:r>
        <w:rPr>
          <w:rFonts w:eastAsia="Calibri" w:cs="Calibri"/>
          <w:b/>
          <w:bCs/>
          <w:color w:val="C6A15B"/>
          <w:spacing w:val="30"/>
          <w:sz w:val="16"/>
          <w:szCs w:val="16"/>
        </w:rPr>
        <w:t>SESSION 2</w:t>
      </w:r>
    </w:p>
    <w:p>
      <w:pPr>
        <w:pStyle w:val="Heading1"/>
        <w:keepNext w:val="true"/>
        <w:pBdr>
          <w:bottom w:val="single" w:sz="12" w:space="6" w:color="C6A15B"/>
        </w:pBdr>
        <w:spacing w:before="320" w:after="140"/>
        <w:rPr/>
      </w:pPr>
      <w:r>
        <w:rPr>
          <w:rFonts w:eastAsia="Calibri" w:cs="Calibri" w:ascii="Calibri" w:hAnsi="Calibri"/>
          <w:b/>
          <w:bCs/>
          <w:color w:val="C6A15B"/>
          <w:sz w:val="30"/>
          <w:szCs w:val="30"/>
        </w:rPr>
        <w:t xml:space="preserve">S2  </w:t>
      </w:r>
      <w:r>
        <w:rPr>
          <w:rFonts w:eastAsia="Calibri" w:cs="Calibri" w:ascii="Calibri" w:hAnsi="Calibri"/>
          <w:b/>
          <w:bCs/>
          <w:color w:val="111827"/>
          <w:sz w:val="30"/>
          <w:szCs w:val="30"/>
        </w:rPr>
        <w:t>What we were told, and what is true</w:t>
      </w:r>
    </w:p>
    <w:tbl>
      <w:tblPr>
        <w:tblW w:w="9360" w:type="dxa"/>
        <w:jc w:val="left"/>
        <w:tblInd w:w="0" w:type="dxa"/>
        <w:tblLayout w:type="fixed"/>
        <w:tblCellMar>
          <w:top w:w="90" w:type="dxa"/>
          <w:left w:w="130" w:type="dxa"/>
          <w:bottom w:w="90" w:type="dxa"/>
          <w:right w:w="130" w:type="dxa"/>
        </w:tblCellMar>
      </w:tblPr>
      <w:tblGrid>
        <w:gridCol w:w="2100"/>
        <w:gridCol w:w="7259"/>
      </w:tblGrid>
      <w:tr>
        <w:trPr>
          <w:tblHeader w:val="true"/>
        </w:trPr>
        <w:tc>
          <w:tcPr>
            <w:tcW w:w="2100" w:type="dxa"/>
            <w:tcBorders>
              <w:top w:val="single" w:sz="4" w:space="0" w:color="D9DDE5"/>
              <w:left w:val="single" w:sz="4" w:space="0" w:color="D9DDE5"/>
              <w:bottom w:val="single" w:sz="4" w:space="0" w:color="D9DDE5"/>
              <w:right w:val="single" w:sz="4" w:space="0" w:color="D9DDE5"/>
            </w:tcBorders>
            <w:shd w:fill="222B42" w:val="clear"/>
          </w:tcPr>
          <w:p>
            <w:pPr>
              <w:pStyle w:val="Normal"/>
              <w:spacing w:lineRule="exact" w:line="252" w:before="0" w:after="0"/>
              <w:jc w:val="left"/>
              <w:rPr/>
            </w:pPr>
            <w:r>
              <w:rPr>
                <w:rFonts w:eastAsia="Calibri" w:cs="Calibri"/>
                <w:b/>
                <w:bCs/>
                <w:color w:val="FFFFFF"/>
                <w:sz w:val="19"/>
                <w:szCs w:val="19"/>
              </w:rPr>
              <w:t>Field</w:t>
            </w:r>
          </w:p>
        </w:tc>
        <w:tc>
          <w:tcPr>
            <w:tcW w:w="7259" w:type="dxa"/>
            <w:tcBorders>
              <w:top w:val="single" w:sz="4" w:space="0" w:color="D9DDE5"/>
              <w:left w:val="single" w:sz="4" w:space="0" w:color="D9DDE5"/>
              <w:bottom w:val="single" w:sz="4" w:space="0" w:color="D9DDE5"/>
              <w:right w:val="single" w:sz="4" w:space="0" w:color="D9DDE5"/>
            </w:tcBorders>
            <w:shd w:fill="222B42" w:val="clear"/>
          </w:tcPr>
          <w:p>
            <w:pPr>
              <w:pStyle w:val="Normal"/>
              <w:spacing w:lineRule="exact" w:line="252" w:before="0" w:after="0"/>
              <w:jc w:val="left"/>
              <w:rPr/>
            </w:pPr>
            <w:r>
              <w:rPr>
                <w:rFonts w:eastAsia="Calibri" w:cs="Calibri"/>
                <w:b/>
                <w:bCs/>
                <w:color w:val="FFFFFF"/>
                <w:sz w:val="19"/>
                <w:szCs w:val="19"/>
              </w:rPr>
              <w:t>Detail</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Duration</w:t>
            </w:r>
          </w:p>
        </w:tc>
        <w:tc>
          <w:tcPr>
            <w:tcW w:w="7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2.5 hours</w:t>
            </w:r>
          </w:p>
        </w:tc>
      </w:tr>
      <w:tr>
        <w:trPr/>
        <w:tc>
          <w:tcPr>
            <w:tcW w:w="21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Participants</w:t>
            </w:r>
          </w:p>
        </w:tc>
        <w:tc>
          <w:tcPr>
            <w:tcW w:w="72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The group + a trusted clinician (Nurse Wanjiru) co-facilitating</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Objectives</w:t>
            </w:r>
          </w:p>
        </w:tc>
        <w:tc>
          <w:tcPr>
            <w:tcW w:w="7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Separate the love (right) from the facts (wrong); replace myths with accurate information from a trusted clinician — without shame.</w:t>
            </w:r>
          </w:p>
        </w:tc>
      </w:tr>
      <w:tr>
        <w:trPr/>
        <w:tc>
          <w:tcPr>
            <w:tcW w:w="21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Materials</w:t>
            </w:r>
          </w:p>
        </w:tc>
        <w:tc>
          <w:tcPr>
            <w:tcW w:w="72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The flip-chart warnings from Session 1; the Myth &amp; Fact elder card (Appendix); a clinician</w:t>
            </w:r>
          </w:p>
        </w:tc>
      </w:tr>
    </w:tbl>
    <w:p>
      <w:pPr>
        <w:pStyle w:val="Heading3"/>
        <w:keepNext w:val="true"/>
        <w:spacing w:before="180" w:after="70"/>
        <w:rPr/>
      </w:pPr>
      <w:r>
        <w:rPr>
          <w:rFonts w:eastAsia="Calibri" w:cs="Calibri" w:ascii="Calibri" w:hAnsi="Calibri"/>
          <w:b/>
          <w:bCs/>
          <w:color w:val="A8863F"/>
          <w:sz w:val="22"/>
          <w:szCs w:val="22"/>
        </w:rPr>
        <w:t>Facilitator flow</w:t>
      </w:r>
    </w:p>
    <w:p>
      <w:pPr>
        <w:pStyle w:val="ListParagraph"/>
        <w:numPr>
          <w:ilvl w:val="0"/>
          <w:numId w:val="11"/>
        </w:numPr>
        <w:spacing w:lineRule="exact" w:line="258" w:before="0" w:after="70"/>
        <w:rPr/>
      </w:pPr>
      <w:r>
        <w:rPr>
          <w:rFonts w:eastAsia="Calibri" w:cs="Calibri"/>
          <w:b w:val="false"/>
          <w:bCs w:val="false"/>
          <w:i w:val="false"/>
          <w:iCs w:val="false"/>
          <w:caps w:val="false"/>
          <w:smallCaps w:val="false"/>
          <w:color w:val="2C3340"/>
          <w:sz w:val="21"/>
          <w:szCs w:val="21"/>
        </w:rPr>
        <w:t>Recap the warnings chart. Frame today gently: “We were told these things by people who loved us. Some were true. Some, it turns out, were not — through no fault of ours.”</w:t>
      </w:r>
    </w:p>
    <w:p>
      <w:pPr>
        <w:pStyle w:val="ListParagraph"/>
        <w:numPr>
          <w:ilvl w:val="0"/>
          <w:numId w:val="3"/>
        </w:numPr>
        <w:spacing w:lineRule="exact" w:line="258" w:before="0" w:after="70"/>
        <w:rPr/>
      </w:pPr>
      <w:r>
        <w:rPr>
          <w:rFonts w:eastAsia="Calibri" w:cs="Calibri"/>
          <w:b w:val="false"/>
          <w:bCs w:val="false"/>
          <w:i w:val="false"/>
          <w:iCs w:val="false"/>
          <w:caps w:val="false"/>
          <w:smallCaps w:val="false"/>
          <w:color w:val="2C3340"/>
          <w:sz w:val="21"/>
          <w:szCs w:val="21"/>
        </w:rPr>
        <w:t>Take the top three myths one at a time. The clinician answers each with the fact and a causal explanation (fertility returns; the womb is not damaged), warmly, never mocking.</w:t>
      </w:r>
    </w:p>
    <w:p>
      <w:pPr>
        <w:pStyle w:val="ListParagraph"/>
        <w:numPr>
          <w:ilvl w:val="0"/>
          <w:numId w:val="3"/>
        </w:numPr>
        <w:spacing w:lineRule="exact" w:line="258" w:before="0" w:after="70"/>
        <w:rPr/>
      </w:pPr>
      <w:r>
        <w:rPr>
          <w:rFonts w:eastAsia="Calibri" w:cs="Calibri"/>
          <w:b w:val="false"/>
          <w:bCs w:val="false"/>
          <w:i w:val="false"/>
          <w:iCs w:val="false"/>
          <w:caps w:val="false"/>
          <w:smallCaps w:val="false"/>
          <w:color w:val="2C3340"/>
          <w:sz w:val="21"/>
          <w:szCs w:val="21"/>
        </w:rPr>
        <w:t>Use the truth-sandwich shape aloud so the women hear the pattern: the fact first, the myth named once, why it spread (“delivered as love”), the fact again.</w:t>
      </w:r>
    </w:p>
    <w:p>
      <w:pPr>
        <w:pStyle w:val="ListParagraph"/>
        <w:numPr>
          <w:ilvl w:val="0"/>
          <w:numId w:val="3"/>
        </w:numPr>
        <w:spacing w:lineRule="exact" w:line="258" w:before="0" w:after="70"/>
        <w:rPr/>
      </w:pPr>
      <w:r>
        <w:rPr>
          <w:rFonts w:eastAsia="Calibri" w:cs="Calibri"/>
          <w:b w:val="false"/>
          <w:bCs w:val="false"/>
          <w:i w:val="false"/>
          <w:iCs w:val="false"/>
          <w:caps w:val="false"/>
          <w:smallCaps w:val="false"/>
          <w:color w:val="2C3340"/>
          <w:sz w:val="21"/>
          <w:szCs w:val="21"/>
        </w:rPr>
        <w:t>Open floor: “What surprised you? What do you still doubt?” Let the clinician address doubts without defensiveness.</w:t>
      </w:r>
    </w:p>
    <w:p>
      <w:pPr>
        <w:pStyle w:val="Normal"/>
        <w:spacing w:before="0" w:after="80"/>
        <w:rPr/>
      </w:pPr>
      <w:r>
        <w:rPr/>
      </w:r>
    </w:p>
    <w:p>
      <w:pPr>
        <w:pStyle w:val="Normal"/>
        <w:spacing w:lineRule="exact" w:line="262" w:before="0" w:after="70"/>
        <w:ind w:left="220"/>
        <w:rPr/>
      </w:pPr>
      <w:r>
        <w:rPr>
          <w:rFonts w:eastAsia="Calibri" w:cs="Calibri"/>
          <w:b/>
          <w:bCs/>
          <w:i/>
          <w:iCs/>
          <w:color w:val="A8863F"/>
          <w:sz w:val="19"/>
          <w:szCs w:val="19"/>
        </w:rPr>
        <w:t xml:space="preserve">Say: </w:t>
      </w:r>
      <w:r>
        <w:rPr>
          <w:rFonts w:eastAsia="Calibri" w:cs="Calibri"/>
          <w:i/>
          <w:iCs/>
          <w:color w:val="222B42"/>
          <w:sz w:val="20"/>
          <w:szCs w:val="20"/>
        </w:rPr>
        <w:t>“If you passed on a warning that wasn’t true, you were not foolish — you were passing on what you were given. Now we have better information to give. That is all that has changed.”</w:t>
      </w:r>
    </w:p>
    <w:p>
      <w:pPr>
        <w:pStyle w:val="Normal"/>
        <w:spacing w:lineRule="exact" w:line="258" w:before="0" w:after="60"/>
        <w:rPr/>
      </w:pPr>
      <w:r>
        <w:rPr>
          <w:rFonts w:eastAsia="Calibri" w:cs="Calibri"/>
          <w:b/>
          <w:bCs/>
          <w:color w:val="222B42"/>
          <w:sz w:val="21"/>
          <w:szCs w:val="21"/>
        </w:rPr>
        <w:t xml:space="preserve">Take-home.  </w:t>
      </w:r>
      <w:r>
        <w:rPr>
          <w:rFonts w:eastAsia="Calibri" w:cs="Calibri"/>
          <w:color w:val="2C3340"/>
          <w:sz w:val="21"/>
          <w:szCs w:val="21"/>
        </w:rPr>
        <w:t>The Myth &amp; Fact elder card to keep. Each woman picks one myth she will stop repeating.</w:t>
      </w:r>
      <w:r>
        <w:br w:type="page"/>
      </w:r>
    </w:p>
    <w:p>
      <w:pPr>
        <w:pStyle w:val="Normal"/>
        <w:keepNext w:val="true"/>
        <w:spacing w:before="0" w:after="40"/>
        <w:rPr/>
      </w:pPr>
      <w:r>
        <w:rPr>
          <w:rFonts w:eastAsia="Calibri" w:cs="Calibri"/>
          <w:b/>
          <w:bCs/>
          <w:color w:val="C6A15B"/>
          <w:spacing w:val="30"/>
          <w:sz w:val="16"/>
          <w:szCs w:val="16"/>
        </w:rPr>
        <w:t>SESSION 3</w:t>
      </w:r>
    </w:p>
    <w:p>
      <w:pPr>
        <w:pStyle w:val="Heading1"/>
        <w:keepNext w:val="true"/>
        <w:pBdr>
          <w:bottom w:val="single" w:sz="12" w:space="6" w:color="C6A15B"/>
        </w:pBdr>
        <w:spacing w:before="320" w:after="140"/>
        <w:rPr/>
      </w:pPr>
      <w:r>
        <w:rPr>
          <w:rFonts w:eastAsia="Calibri" w:cs="Calibri" w:ascii="Calibri" w:hAnsi="Calibri"/>
          <w:b/>
          <w:bCs/>
          <w:color w:val="C6A15B"/>
          <w:sz w:val="30"/>
          <w:szCs w:val="30"/>
        </w:rPr>
        <w:t xml:space="preserve">S3  </w:t>
      </w:r>
      <w:r>
        <w:rPr>
          <w:rFonts w:eastAsia="Calibri" w:cs="Calibri" w:ascii="Calibri" w:hAnsi="Calibri"/>
          <w:b/>
          <w:bCs/>
          <w:color w:val="111827"/>
          <w:sz w:val="30"/>
          <w:szCs w:val="30"/>
        </w:rPr>
        <w:t>The new scripts</w:t>
      </w:r>
    </w:p>
    <w:tbl>
      <w:tblPr>
        <w:tblW w:w="9360" w:type="dxa"/>
        <w:jc w:val="left"/>
        <w:tblInd w:w="0" w:type="dxa"/>
        <w:tblLayout w:type="fixed"/>
        <w:tblCellMar>
          <w:top w:w="90" w:type="dxa"/>
          <w:left w:w="130" w:type="dxa"/>
          <w:bottom w:w="90" w:type="dxa"/>
          <w:right w:w="130" w:type="dxa"/>
        </w:tblCellMar>
      </w:tblPr>
      <w:tblGrid>
        <w:gridCol w:w="2100"/>
        <w:gridCol w:w="7259"/>
      </w:tblGrid>
      <w:tr>
        <w:trPr>
          <w:tblHeader w:val="true"/>
        </w:trPr>
        <w:tc>
          <w:tcPr>
            <w:tcW w:w="2100" w:type="dxa"/>
            <w:tcBorders>
              <w:top w:val="single" w:sz="4" w:space="0" w:color="D9DDE5"/>
              <w:left w:val="single" w:sz="4" w:space="0" w:color="D9DDE5"/>
              <w:bottom w:val="single" w:sz="4" w:space="0" w:color="D9DDE5"/>
              <w:right w:val="single" w:sz="4" w:space="0" w:color="D9DDE5"/>
            </w:tcBorders>
            <w:shd w:fill="222B42" w:val="clear"/>
          </w:tcPr>
          <w:p>
            <w:pPr>
              <w:pStyle w:val="Normal"/>
              <w:spacing w:lineRule="exact" w:line="252" w:before="0" w:after="0"/>
              <w:jc w:val="left"/>
              <w:rPr/>
            </w:pPr>
            <w:r>
              <w:rPr>
                <w:rFonts w:eastAsia="Calibri" w:cs="Calibri"/>
                <w:b/>
                <w:bCs/>
                <w:color w:val="FFFFFF"/>
                <w:sz w:val="19"/>
                <w:szCs w:val="19"/>
              </w:rPr>
              <w:t>Field</w:t>
            </w:r>
          </w:p>
        </w:tc>
        <w:tc>
          <w:tcPr>
            <w:tcW w:w="7259" w:type="dxa"/>
            <w:tcBorders>
              <w:top w:val="single" w:sz="4" w:space="0" w:color="D9DDE5"/>
              <w:left w:val="single" w:sz="4" w:space="0" w:color="D9DDE5"/>
              <w:bottom w:val="single" w:sz="4" w:space="0" w:color="D9DDE5"/>
              <w:right w:val="single" w:sz="4" w:space="0" w:color="D9DDE5"/>
            </w:tcBorders>
            <w:shd w:fill="222B42" w:val="clear"/>
          </w:tcPr>
          <w:p>
            <w:pPr>
              <w:pStyle w:val="Normal"/>
              <w:spacing w:lineRule="exact" w:line="252" w:before="0" w:after="0"/>
              <w:jc w:val="left"/>
              <w:rPr/>
            </w:pPr>
            <w:r>
              <w:rPr>
                <w:rFonts w:eastAsia="Calibri" w:cs="Calibri"/>
                <w:b/>
                <w:bCs/>
                <w:color w:val="FFFFFF"/>
                <w:sz w:val="19"/>
                <w:szCs w:val="19"/>
              </w:rPr>
              <w:t>Detail</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Duration</w:t>
            </w:r>
          </w:p>
        </w:tc>
        <w:tc>
          <w:tcPr>
            <w:tcW w:w="7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2.5 hours</w:t>
            </w:r>
          </w:p>
        </w:tc>
      </w:tr>
      <w:tr>
        <w:trPr/>
        <w:tc>
          <w:tcPr>
            <w:tcW w:w="21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Participants</w:t>
            </w:r>
          </w:p>
        </w:tc>
        <w:tc>
          <w:tcPr>
            <w:tcW w:w="72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The group</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Objectives</w:t>
            </w:r>
          </w:p>
        </w:tc>
        <w:tc>
          <w:tcPr>
            <w:tcW w:w="7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Turn the corrected facts into language that still sounds like a caring aunty — the “rewrite the warning” skill.</w:t>
            </w:r>
          </w:p>
        </w:tc>
      </w:tr>
      <w:tr>
        <w:trPr/>
        <w:tc>
          <w:tcPr>
            <w:tcW w:w="21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Materials</w:t>
            </w:r>
          </w:p>
        </w:tc>
        <w:tc>
          <w:tcPr>
            <w:tcW w:w="72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The old/new script sheet; blank cards; pens</w:t>
            </w:r>
          </w:p>
        </w:tc>
      </w:tr>
    </w:tbl>
    <w:p>
      <w:pPr>
        <w:pStyle w:val="Heading3"/>
        <w:keepNext w:val="true"/>
        <w:spacing w:before="180" w:after="70"/>
        <w:rPr/>
      </w:pPr>
      <w:r>
        <w:rPr>
          <w:rFonts w:eastAsia="Calibri" w:cs="Calibri" w:ascii="Calibri" w:hAnsi="Calibri"/>
          <w:b/>
          <w:bCs/>
          <w:color w:val="A8863F"/>
          <w:sz w:val="22"/>
          <w:szCs w:val="22"/>
        </w:rPr>
        <w:t>Facilitator flow</w:t>
      </w:r>
    </w:p>
    <w:p>
      <w:pPr>
        <w:pStyle w:val="ListParagraph"/>
        <w:numPr>
          <w:ilvl w:val="0"/>
          <w:numId w:val="12"/>
        </w:numPr>
        <w:spacing w:lineRule="exact" w:line="258" w:before="0" w:after="70"/>
        <w:rPr/>
      </w:pPr>
      <w:r>
        <w:rPr>
          <w:rFonts w:eastAsia="Calibri" w:cs="Calibri"/>
          <w:b w:val="false"/>
          <w:bCs w:val="false"/>
          <w:i w:val="false"/>
          <w:iCs w:val="false"/>
          <w:caps w:val="false"/>
          <w:smallCaps w:val="false"/>
          <w:color w:val="2C3340"/>
          <w:sz w:val="21"/>
          <w:szCs w:val="21"/>
        </w:rPr>
        <w:t>Introduce the rule: keep the love, change the facts. A good new script still sounds like you, not like a poster.</w:t>
      </w:r>
    </w:p>
    <w:p>
      <w:pPr>
        <w:pStyle w:val="ListParagraph"/>
        <w:numPr>
          <w:ilvl w:val="0"/>
          <w:numId w:val="4"/>
        </w:numPr>
        <w:spacing w:lineRule="exact" w:line="258" w:before="0" w:after="70"/>
        <w:rPr/>
      </w:pPr>
      <w:r>
        <w:rPr>
          <w:rFonts w:eastAsia="Calibri" w:cs="Calibri"/>
          <w:b w:val="false"/>
          <w:bCs w:val="false"/>
          <w:i w:val="false"/>
          <w:iCs w:val="false"/>
          <w:caps w:val="false"/>
          <w:smallCaps w:val="false"/>
          <w:color w:val="2C3340"/>
          <w:sz w:val="21"/>
          <w:szCs w:val="21"/>
        </w:rPr>
        <w:t>Model one together on the flip chart, from a real warning in the group’s own words.</w:t>
      </w:r>
    </w:p>
    <w:p>
      <w:pPr>
        <w:pStyle w:val="ListParagraph"/>
        <w:numPr>
          <w:ilvl w:val="0"/>
          <w:numId w:val="4"/>
        </w:numPr>
        <w:spacing w:lineRule="exact" w:line="258" w:before="0" w:after="70"/>
        <w:rPr/>
      </w:pPr>
      <w:r>
        <w:rPr>
          <w:rFonts w:eastAsia="Calibri" w:cs="Calibri"/>
          <w:b w:val="false"/>
          <w:bCs w:val="false"/>
          <w:i w:val="false"/>
          <w:iCs w:val="false"/>
          <w:caps w:val="false"/>
          <w:smallCaps w:val="false"/>
          <w:color w:val="2C3340"/>
          <w:sz w:val="21"/>
          <w:szCs w:val="21"/>
        </w:rPr>
        <w:t>In pairs, each woman rewrites two of her own warnings into new scripts. Facilitator circulates and helps.</w:t>
      </w:r>
    </w:p>
    <w:p>
      <w:pPr>
        <w:pStyle w:val="ListParagraph"/>
        <w:numPr>
          <w:ilvl w:val="0"/>
          <w:numId w:val="4"/>
        </w:numPr>
        <w:spacing w:lineRule="exact" w:line="258" w:before="0" w:after="70"/>
        <w:rPr/>
      </w:pPr>
      <w:r>
        <w:rPr>
          <w:rFonts w:eastAsia="Calibri" w:cs="Calibri"/>
          <w:b w:val="false"/>
          <w:bCs w:val="false"/>
          <w:i w:val="false"/>
          <w:iCs w:val="false"/>
          <w:caps w:val="false"/>
          <w:smallCaps w:val="false"/>
          <w:color w:val="2C3340"/>
          <w:sz w:val="21"/>
          <w:szCs w:val="21"/>
        </w:rPr>
        <w:t>Role-play in the round — aunty to “niece” — until the new script sounds natural and warm. The room gives feedback on believability, not correctness.</w:t>
      </w:r>
    </w:p>
    <w:p>
      <w:pPr>
        <w:pStyle w:val="Normal"/>
        <w:spacing w:before="0" w:after="80"/>
        <w:rPr/>
      </w:pPr>
      <w:r>
        <w:rPr/>
      </w:r>
    </w:p>
    <w:p>
      <w:pPr>
        <w:pStyle w:val="Normal"/>
        <w:spacing w:lineRule="exact" w:line="262" w:before="0" w:after="70"/>
        <w:ind w:left="220"/>
        <w:rPr/>
      </w:pPr>
      <w:r>
        <w:rPr>
          <w:rFonts w:eastAsia="Calibri" w:cs="Calibri"/>
          <w:b/>
          <w:bCs/>
          <w:i/>
          <w:iCs/>
          <w:color w:val="A8863F"/>
          <w:sz w:val="19"/>
          <w:szCs w:val="19"/>
        </w:rPr>
        <w:t xml:space="preserve">Say: </w:t>
      </w:r>
      <w:r>
        <w:rPr>
          <w:rFonts w:eastAsia="Calibri" w:cs="Calibri"/>
          <w:i/>
          <w:iCs/>
          <w:color w:val="222B42"/>
          <w:sz w:val="20"/>
          <w:szCs w:val="20"/>
        </w:rPr>
        <w:t>“Do not take the love out of the sentence. Keep the love. Change only the facts inside it.”</w:t>
      </w:r>
    </w:p>
    <w:p>
      <w:pPr>
        <w:pStyle w:val="Normal"/>
        <w:spacing w:lineRule="exact" w:line="258" w:before="0" w:after="60"/>
        <w:rPr/>
      </w:pPr>
      <w:r>
        <w:rPr>
          <w:rFonts w:eastAsia="Calibri" w:cs="Calibri"/>
          <w:b/>
          <w:bCs/>
          <w:color w:val="222B42"/>
          <w:sz w:val="21"/>
          <w:szCs w:val="21"/>
        </w:rPr>
        <w:t xml:space="preserve">Take-home.  </w:t>
      </w:r>
      <w:r>
        <w:rPr>
          <w:rFonts w:eastAsia="Calibri" w:cs="Calibri"/>
          <w:color w:val="2C3340"/>
          <w:sz w:val="21"/>
          <w:szCs w:val="21"/>
        </w:rPr>
        <w:t>Each woman leaves with two new scripts in her own words, written on cards, to use in her own kitchen.</w:t>
      </w:r>
      <w:r>
        <w:br w:type="page"/>
      </w:r>
    </w:p>
    <w:p>
      <w:pPr>
        <w:pStyle w:val="Normal"/>
        <w:keepNext w:val="true"/>
        <w:spacing w:before="0" w:after="40"/>
        <w:rPr/>
      </w:pPr>
      <w:r>
        <w:rPr>
          <w:rFonts w:eastAsia="Calibri" w:cs="Calibri"/>
          <w:b/>
          <w:bCs/>
          <w:color w:val="C6A15B"/>
          <w:spacing w:val="30"/>
          <w:sz w:val="16"/>
          <w:szCs w:val="16"/>
        </w:rPr>
        <w:t>SESSION 4</w:t>
      </w:r>
    </w:p>
    <w:p>
      <w:pPr>
        <w:pStyle w:val="Heading1"/>
        <w:keepNext w:val="true"/>
        <w:pBdr>
          <w:bottom w:val="single" w:sz="12" w:space="6" w:color="C6A15B"/>
        </w:pBdr>
        <w:spacing w:before="320" w:after="140"/>
        <w:rPr/>
      </w:pPr>
      <w:r>
        <w:rPr>
          <w:rFonts w:eastAsia="Calibri" w:cs="Calibri" w:ascii="Calibri" w:hAnsi="Calibri"/>
          <w:b/>
          <w:bCs/>
          <w:color w:val="C6A15B"/>
          <w:sz w:val="30"/>
          <w:szCs w:val="30"/>
        </w:rPr>
        <w:t xml:space="preserve">S4  </w:t>
      </w:r>
      <w:r>
        <w:rPr>
          <w:rFonts w:eastAsia="Calibri" w:cs="Calibri" w:ascii="Calibri" w:hAnsi="Calibri"/>
          <w:b/>
          <w:bCs/>
          <w:color w:val="111827"/>
          <w:sz w:val="30"/>
          <w:szCs w:val="30"/>
        </w:rPr>
        <w:t>Carrying it — the kitchen and the phone</w:t>
      </w:r>
    </w:p>
    <w:tbl>
      <w:tblPr>
        <w:tblW w:w="9360" w:type="dxa"/>
        <w:jc w:val="left"/>
        <w:tblInd w:w="0" w:type="dxa"/>
        <w:tblLayout w:type="fixed"/>
        <w:tblCellMar>
          <w:top w:w="90" w:type="dxa"/>
          <w:left w:w="130" w:type="dxa"/>
          <w:bottom w:w="90" w:type="dxa"/>
          <w:right w:w="130" w:type="dxa"/>
        </w:tblCellMar>
      </w:tblPr>
      <w:tblGrid>
        <w:gridCol w:w="2100"/>
        <w:gridCol w:w="7259"/>
      </w:tblGrid>
      <w:tr>
        <w:trPr>
          <w:tblHeader w:val="true"/>
        </w:trPr>
        <w:tc>
          <w:tcPr>
            <w:tcW w:w="2100" w:type="dxa"/>
            <w:tcBorders>
              <w:top w:val="single" w:sz="4" w:space="0" w:color="D9DDE5"/>
              <w:left w:val="single" w:sz="4" w:space="0" w:color="D9DDE5"/>
              <w:bottom w:val="single" w:sz="4" w:space="0" w:color="D9DDE5"/>
              <w:right w:val="single" w:sz="4" w:space="0" w:color="D9DDE5"/>
            </w:tcBorders>
            <w:shd w:fill="222B42" w:val="clear"/>
          </w:tcPr>
          <w:p>
            <w:pPr>
              <w:pStyle w:val="Normal"/>
              <w:spacing w:lineRule="exact" w:line="252" w:before="0" w:after="0"/>
              <w:jc w:val="left"/>
              <w:rPr/>
            </w:pPr>
            <w:r>
              <w:rPr>
                <w:rFonts w:eastAsia="Calibri" w:cs="Calibri"/>
                <w:b/>
                <w:bCs/>
                <w:color w:val="FFFFFF"/>
                <w:sz w:val="19"/>
                <w:szCs w:val="19"/>
              </w:rPr>
              <w:t>Field</w:t>
            </w:r>
          </w:p>
        </w:tc>
        <w:tc>
          <w:tcPr>
            <w:tcW w:w="7259" w:type="dxa"/>
            <w:tcBorders>
              <w:top w:val="single" w:sz="4" w:space="0" w:color="D9DDE5"/>
              <w:left w:val="single" w:sz="4" w:space="0" w:color="D9DDE5"/>
              <w:bottom w:val="single" w:sz="4" w:space="0" w:color="D9DDE5"/>
              <w:right w:val="single" w:sz="4" w:space="0" w:color="D9DDE5"/>
            </w:tcBorders>
            <w:shd w:fill="222B42" w:val="clear"/>
          </w:tcPr>
          <w:p>
            <w:pPr>
              <w:pStyle w:val="Normal"/>
              <w:spacing w:lineRule="exact" w:line="252" w:before="0" w:after="0"/>
              <w:jc w:val="left"/>
              <w:rPr/>
            </w:pPr>
            <w:r>
              <w:rPr>
                <w:rFonts w:eastAsia="Calibri" w:cs="Calibri"/>
                <w:b/>
                <w:bCs/>
                <w:color w:val="FFFFFF"/>
                <w:sz w:val="19"/>
                <w:szCs w:val="19"/>
              </w:rPr>
              <w:t>Detail</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Duration</w:t>
            </w:r>
          </w:p>
        </w:tc>
        <w:tc>
          <w:tcPr>
            <w:tcW w:w="7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2 hours</w:t>
            </w:r>
          </w:p>
        </w:tc>
      </w:tr>
      <w:tr>
        <w:trPr/>
        <w:tc>
          <w:tcPr>
            <w:tcW w:w="21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Participants</w:t>
            </w:r>
          </w:p>
        </w:tc>
        <w:tc>
          <w:tcPr>
            <w:tcW w:w="72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The group</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Objectives</w:t>
            </w:r>
          </w:p>
        </w:tc>
        <w:tc>
          <w:tcPr>
            <w:tcW w:w="7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Practise using the new scripts in the two channels that matter most: the face-to-face conversation and the family WhatsApp group.</w:t>
            </w:r>
          </w:p>
        </w:tc>
      </w:tr>
      <w:tr>
        <w:trPr/>
        <w:tc>
          <w:tcPr>
            <w:tcW w:w="21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Materials</w:t>
            </w:r>
          </w:p>
        </w:tc>
        <w:tc>
          <w:tcPr>
            <w:tcW w:w="72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Phones; the forwardable voice-note and image assets; scenario cards</w:t>
            </w:r>
          </w:p>
        </w:tc>
      </w:tr>
    </w:tbl>
    <w:p>
      <w:pPr>
        <w:pStyle w:val="Heading3"/>
        <w:keepNext w:val="true"/>
        <w:spacing w:before="180" w:after="70"/>
        <w:rPr/>
      </w:pPr>
      <w:r>
        <w:rPr>
          <w:rFonts w:eastAsia="Calibri" w:cs="Calibri" w:ascii="Calibri" w:hAnsi="Calibri"/>
          <w:b/>
          <w:bCs/>
          <w:color w:val="A8863F"/>
          <w:sz w:val="22"/>
          <w:szCs w:val="22"/>
        </w:rPr>
        <w:t>Facilitator flow</w:t>
      </w:r>
    </w:p>
    <w:p>
      <w:pPr>
        <w:pStyle w:val="ListParagraph"/>
        <w:numPr>
          <w:ilvl w:val="0"/>
          <w:numId w:val="13"/>
        </w:numPr>
        <w:spacing w:lineRule="exact" w:line="258" w:before="0" w:after="70"/>
        <w:rPr/>
      </w:pPr>
      <w:r>
        <w:rPr>
          <w:rFonts w:eastAsia="Calibri" w:cs="Calibri"/>
          <w:b w:val="false"/>
          <w:bCs w:val="false"/>
          <w:i w:val="false"/>
          <w:iCs w:val="false"/>
          <w:caps w:val="false"/>
          <w:smallCaps w:val="false"/>
          <w:color w:val="2C3340"/>
          <w:sz w:val="21"/>
          <w:szCs w:val="21"/>
        </w:rPr>
        <w:t>Kitchen practice: scenario cards (“your niece says she is scared of getting pregnant and ruining school”) — women respond aloud using their new scripts.</w:t>
      </w:r>
    </w:p>
    <w:p>
      <w:pPr>
        <w:pStyle w:val="ListParagraph"/>
        <w:numPr>
          <w:ilvl w:val="0"/>
          <w:numId w:val="5"/>
        </w:numPr>
        <w:spacing w:lineRule="exact" w:line="258" w:before="0" w:after="70"/>
        <w:rPr/>
      </w:pPr>
      <w:r>
        <w:rPr>
          <w:rFonts w:eastAsia="Calibri" w:cs="Calibri"/>
          <w:b w:val="false"/>
          <w:bCs w:val="false"/>
          <w:i w:val="false"/>
          <w:iCs w:val="false"/>
          <w:caps w:val="false"/>
          <w:smallCaps w:val="false"/>
          <w:color w:val="2C3340"/>
          <w:sz w:val="21"/>
          <w:szCs w:val="21"/>
        </w:rPr>
        <w:t>WhatsApp practice: show the ready-made correction message and voice notes. Each woman who is a group admin practises posting or forwarding one.</w:t>
      </w:r>
    </w:p>
    <w:p>
      <w:pPr>
        <w:pStyle w:val="ListParagraph"/>
        <w:numPr>
          <w:ilvl w:val="0"/>
          <w:numId w:val="5"/>
        </w:numPr>
        <w:spacing w:lineRule="exact" w:line="258" w:before="0" w:after="70"/>
        <w:rPr/>
      </w:pPr>
      <w:r>
        <w:rPr>
          <w:rFonts w:eastAsia="Calibri" w:cs="Calibri"/>
          <w:b w:val="false"/>
          <w:bCs w:val="false"/>
          <w:i w:val="false"/>
          <w:iCs w:val="false"/>
          <w:caps w:val="false"/>
          <w:smallCaps w:val="false"/>
          <w:color w:val="2C3340"/>
          <w:sz w:val="21"/>
          <w:szCs w:val="21"/>
        </w:rPr>
        <w:t>Discuss the hard moments: what if the men in the group push back? What if the pastor said otherwise? Problem-solve together.</w:t>
      </w:r>
    </w:p>
    <w:p>
      <w:pPr>
        <w:pStyle w:val="ListParagraph"/>
        <w:numPr>
          <w:ilvl w:val="0"/>
          <w:numId w:val="5"/>
        </w:numPr>
        <w:spacing w:lineRule="exact" w:line="258" w:before="0" w:after="70"/>
        <w:rPr/>
      </w:pPr>
      <w:r>
        <w:rPr>
          <w:rFonts w:eastAsia="Calibri" w:cs="Calibri"/>
          <w:b w:val="false"/>
          <w:bCs w:val="false"/>
          <w:i w:val="false"/>
          <w:iCs w:val="false"/>
          <w:caps w:val="false"/>
          <w:smallCaps w:val="false"/>
          <w:color w:val="2C3340"/>
          <w:sz w:val="21"/>
          <w:szCs w:val="21"/>
        </w:rPr>
        <w:t>Agree a simple commitment each woman will make in her own family this week.</w:t>
      </w:r>
    </w:p>
    <w:p>
      <w:pPr>
        <w:pStyle w:val="Normal"/>
        <w:spacing w:before="0" w:after="80"/>
        <w:rPr/>
      </w:pPr>
      <w:r>
        <w:rPr/>
      </w:r>
    </w:p>
    <w:p>
      <w:pPr>
        <w:pStyle w:val="Normal"/>
        <w:spacing w:lineRule="exact" w:line="258" w:before="0" w:after="60"/>
        <w:rPr/>
      </w:pPr>
      <w:r>
        <w:rPr>
          <w:rFonts w:eastAsia="Calibri" w:cs="Calibri"/>
          <w:b/>
          <w:bCs/>
          <w:color w:val="222B42"/>
          <w:sz w:val="21"/>
          <w:szCs w:val="21"/>
        </w:rPr>
        <w:t xml:space="preserve">Take-home.  </w:t>
      </w:r>
      <w:r>
        <w:rPr>
          <w:rFonts w:eastAsia="Calibri" w:cs="Calibri"/>
          <w:color w:val="2C3340"/>
          <w:sz w:val="21"/>
          <w:szCs w:val="21"/>
        </w:rPr>
        <w:t>Each woman uses one new script in a real kitchen conversation and forwards one accurate voice note to her family group.</w:t>
      </w:r>
      <w:r>
        <w:br w:type="page"/>
      </w:r>
    </w:p>
    <w:p>
      <w:pPr>
        <w:pStyle w:val="Normal"/>
        <w:keepNext w:val="true"/>
        <w:spacing w:before="0" w:after="40"/>
        <w:rPr/>
      </w:pPr>
      <w:r>
        <w:rPr>
          <w:rFonts w:eastAsia="Calibri" w:cs="Calibri"/>
          <w:b/>
          <w:bCs/>
          <w:color w:val="C6A15B"/>
          <w:spacing w:val="30"/>
          <w:sz w:val="16"/>
          <w:szCs w:val="16"/>
        </w:rPr>
        <w:t>SESSION 5</w:t>
      </w:r>
    </w:p>
    <w:p>
      <w:pPr>
        <w:pStyle w:val="Heading1"/>
        <w:keepNext w:val="true"/>
        <w:pBdr>
          <w:bottom w:val="single" w:sz="12" w:space="6" w:color="C6A15B"/>
        </w:pBdr>
        <w:spacing w:before="320" w:after="140"/>
        <w:rPr/>
      </w:pPr>
      <w:r>
        <w:rPr>
          <w:rFonts w:eastAsia="Calibri" w:cs="Calibri" w:ascii="Calibri" w:hAnsi="Calibri"/>
          <w:b/>
          <w:bCs/>
          <w:color w:val="C6A15B"/>
          <w:sz w:val="30"/>
          <w:szCs w:val="30"/>
        </w:rPr>
        <w:t xml:space="preserve">S5  </w:t>
      </w:r>
      <w:r>
        <w:rPr>
          <w:rFonts w:eastAsia="Calibri" w:cs="Calibri" w:ascii="Calibri" w:hAnsi="Calibri"/>
          <w:b/>
          <w:bCs/>
          <w:color w:val="111827"/>
          <w:sz w:val="30"/>
          <w:szCs w:val="30"/>
        </w:rPr>
        <w:t>Becoming a champion</w:t>
      </w:r>
    </w:p>
    <w:tbl>
      <w:tblPr>
        <w:tblW w:w="9360" w:type="dxa"/>
        <w:jc w:val="left"/>
        <w:tblInd w:w="0" w:type="dxa"/>
        <w:tblLayout w:type="fixed"/>
        <w:tblCellMar>
          <w:top w:w="90" w:type="dxa"/>
          <w:left w:w="130" w:type="dxa"/>
          <w:bottom w:w="90" w:type="dxa"/>
          <w:right w:w="130" w:type="dxa"/>
        </w:tblCellMar>
      </w:tblPr>
      <w:tblGrid>
        <w:gridCol w:w="2100"/>
        <w:gridCol w:w="7259"/>
      </w:tblGrid>
      <w:tr>
        <w:trPr>
          <w:tblHeader w:val="true"/>
        </w:trPr>
        <w:tc>
          <w:tcPr>
            <w:tcW w:w="2100" w:type="dxa"/>
            <w:tcBorders>
              <w:top w:val="single" w:sz="4" w:space="0" w:color="D9DDE5"/>
              <w:left w:val="single" w:sz="4" w:space="0" w:color="D9DDE5"/>
              <w:bottom w:val="single" w:sz="4" w:space="0" w:color="D9DDE5"/>
              <w:right w:val="single" w:sz="4" w:space="0" w:color="D9DDE5"/>
            </w:tcBorders>
            <w:shd w:fill="222B42" w:val="clear"/>
          </w:tcPr>
          <w:p>
            <w:pPr>
              <w:pStyle w:val="Normal"/>
              <w:spacing w:lineRule="exact" w:line="252" w:before="0" w:after="0"/>
              <w:jc w:val="left"/>
              <w:rPr/>
            </w:pPr>
            <w:r>
              <w:rPr>
                <w:rFonts w:eastAsia="Calibri" w:cs="Calibri"/>
                <w:b/>
                <w:bCs/>
                <w:color w:val="FFFFFF"/>
                <w:sz w:val="19"/>
                <w:szCs w:val="19"/>
              </w:rPr>
              <w:t>Field</w:t>
            </w:r>
          </w:p>
        </w:tc>
        <w:tc>
          <w:tcPr>
            <w:tcW w:w="7259" w:type="dxa"/>
            <w:tcBorders>
              <w:top w:val="single" w:sz="4" w:space="0" w:color="D9DDE5"/>
              <w:left w:val="single" w:sz="4" w:space="0" w:color="D9DDE5"/>
              <w:bottom w:val="single" w:sz="4" w:space="0" w:color="D9DDE5"/>
              <w:right w:val="single" w:sz="4" w:space="0" w:color="D9DDE5"/>
            </w:tcBorders>
            <w:shd w:fill="222B42" w:val="clear"/>
          </w:tcPr>
          <w:p>
            <w:pPr>
              <w:pStyle w:val="Normal"/>
              <w:spacing w:lineRule="exact" w:line="252" w:before="0" w:after="0"/>
              <w:jc w:val="left"/>
              <w:rPr/>
            </w:pPr>
            <w:r>
              <w:rPr>
                <w:rFonts w:eastAsia="Calibri" w:cs="Calibri"/>
                <w:b/>
                <w:bCs/>
                <w:color w:val="FFFFFF"/>
                <w:sz w:val="19"/>
                <w:szCs w:val="19"/>
              </w:rPr>
              <w:t>Detail</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Duration</w:t>
            </w:r>
          </w:p>
        </w:tc>
        <w:tc>
          <w:tcPr>
            <w:tcW w:w="7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2.5 hours</w:t>
            </w:r>
          </w:p>
        </w:tc>
      </w:tr>
      <w:tr>
        <w:trPr/>
        <w:tc>
          <w:tcPr>
            <w:tcW w:w="21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Participants</w:t>
            </w:r>
          </w:p>
        </w:tc>
        <w:tc>
          <w:tcPr>
            <w:tcW w:w="72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The group + clinician + programme lead</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Objectives</w:t>
            </w:r>
          </w:p>
        </w:tc>
        <w:tc>
          <w:tcPr>
            <w:tcW w:w="7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Move willing women from private change to public championing; capture change-of-heart stories; set up safeguarding and ongoing support.</w:t>
            </w:r>
          </w:p>
        </w:tc>
      </w:tr>
      <w:tr>
        <w:trPr/>
        <w:tc>
          <w:tcPr>
            <w:tcW w:w="21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Materials</w:t>
            </w:r>
          </w:p>
        </w:tc>
        <w:tc>
          <w:tcPr>
            <w:tcW w:w="72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Recording consent forms; the champion pledge card; refreshments</w:t>
            </w:r>
          </w:p>
        </w:tc>
      </w:tr>
    </w:tbl>
    <w:p>
      <w:pPr>
        <w:pStyle w:val="Heading3"/>
        <w:keepNext w:val="true"/>
        <w:spacing w:before="180" w:after="70"/>
        <w:rPr/>
      </w:pPr>
      <w:r>
        <w:rPr>
          <w:rFonts w:eastAsia="Calibri" w:cs="Calibri" w:ascii="Calibri" w:hAnsi="Calibri"/>
          <w:b/>
          <w:bCs/>
          <w:color w:val="A8863F"/>
          <w:sz w:val="22"/>
          <w:szCs w:val="22"/>
        </w:rPr>
        <w:t>Facilitator flow</w:t>
      </w:r>
    </w:p>
    <w:p>
      <w:pPr>
        <w:pStyle w:val="ListParagraph"/>
        <w:numPr>
          <w:ilvl w:val="0"/>
          <w:numId w:val="14"/>
        </w:numPr>
        <w:spacing w:lineRule="exact" w:line="258" w:before="0" w:after="70"/>
        <w:rPr/>
      </w:pPr>
      <w:r>
        <w:rPr>
          <w:rFonts w:eastAsia="Calibri" w:cs="Calibri"/>
          <w:b w:val="false"/>
          <w:bCs w:val="false"/>
          <w:i w:val="false"/>
          <w:iCs w:val="false"/>
          <w:caps w:val="false"/>
          <w:smallCaps w:val="false"/>
          <w:color w:val="2C3340"/>
          <w:sz w:val="21"/>
          <w:szCs w:val="21"/>
        </w:rPr>
        <w:t>Round: “What changed for you, and what did you do differently?” These are the change-of-heart stories — the most persuasive content the programme has.</w:t>
      </w:r>
    </w:p>
    <w:p>
      <w:pPr>
        <w:pStyle w:val="ListParagraph"/>
        <w:numPr>
          <w:ilvl w:val="0"/>
          <w:numId w:val="6"/>
        </w:numPr>
        <w:spacing w:lineRule="exact" w:line="258" w:before="0" w:after="70"/>
        <w:rPr/>
      </w:pPr>
      <w:r>
        <w:rPr>
          <w:rFonts w:eastAsia="Calibri" w:cs="Calibri"/>
          <w:b w:val="false"/>
          <w:bCs w:val="false"/>
          <w:i w:val="false"/>
          <w:iCs w:val="false"/>
          <w:caps w:val="false"/>
          <w:smallCaps w:val="false"/>
          <w:color w:val="2C3340"/>
          <w:sz w:val="21"/>
          <w:szCs w:val="21"/>
        </w:rPr>
        <w:t>With consent, capture two or three short stories (audio or on camera) for use on radio, WhatsApp and the podcast — safeguarded and voluntary.</w:t>
      </w:r>
    </w:p>
    <w:p>
      <w:pPr>
        <w:pStyle w:val="ListParagraph"/>
        <w:numPr>
          <w:ilvl w:val="0"/>
          <w:numId w:val="6"/>
        </w:numPr>
        <w:spacing w:lineRule="exact" w:line="258" w:before="0" w:after="70"/>
        <w:rPr/>
      </w:pPr>
      <w:r>
        <w:rPr>
          <w:rFonts w:eastAsia="Calibri" w:cs="Calibri"/>
          <w:b w:val="false"/>
          <w:bCs w:val="false"/>
          <w:i w:val="false"/>
          <w:iCs w:val="false"/>
          <w:caps w:val="false"/>
          <w:smallCaps w:val="false"/>
          <w:color w:val="2C3340"/>
          <w:sz w:val="21"/>
          <w:szCs w:val="21"/>
        </w:rPr>
        <w:t>Introduce the champion role: speaking up in women’s groups, mentoring one or two younger aunties, going with a girl to the clinic when asked.</w:t>
      </w:r>
    </w:p>
    <w:p>
      <w:pPr>
        <w:pStyle w:val="ListParagraph"/>
        <w:numPr>
          <w:ilvl w:val="0"/>
          <w:numId w:val="6"/>
        </w:numPr>
        <w:spacing w:lineRule="exact" w:line="258" w:before="0" w:after="70"/>
        <w:rPr/>
      </w:pPr>
      <w:r>
        <w:rPr>
          <w:rFonts w:eastAsia="Calibri" w:cs="Calibri"/>
          <w:b w:val="false"/>
          <w:bCs w:val="false"/>
          <w:i w:val="false"/>
          <w:iCs w:val="false"/>
          <w:caps w:val="false"/>
          <w:smallCaps w:val="false"/>
          <w:color w:val="2C3340"/>
          <w:sz w:val="21"/>
          <w:szCs w:val="21"/>
        </w:rPr>
        <w:t>Set up ongoing support: a champions’ WhatsApp group, a monthly check-in, and a named programme contact. End with the pledge and celebration.</w:t>
      </w:r>
    </w:p>
    <w:p>
      <w:pPr>
        <w:pStyle w:val="Normal"/>
        <w:spacing w:before="0" w:after="80"/>
        <w:rPr/>
      </w:pPr>
      <w:r>
        <w:rPr/>
      </w:r>
    </w:p>
    <w:p>
      <w:pPr>
        <w:pStyle w:val="Normal"/>
        <w:spacing w:lineRule="exact" w:line="268" w:before="0" w:after="120"/>
        <w:rPr/>
      </w:pPr>
      <w:r>
        <w:rPr>
          <w:rFonts w:eastAsia="Calibri" w:cs="Calibri"/>
          <w:color w:val="2C3340"/>
          <w:sz w:val="21"/>
          <w:szCs w:val="21"/>
        </w:rPr>
        <w:t>Safeguarding note: championing is voluntary and must never expose a woman to family or community backlash she has not chosen. Capture and share stories only with informed, ongoing consent; a woman may withdraw at any time. Protect the champions as carefully as the girls they now protect.</w:t>
      </w:r>
      <w:r>
        <w:rPr>
          <w:rFonts w:eastAsia="Calibri" w:cs="Calibri"/>
          <w:b/>
          <w:bCs/>
          <w:color w:val="A8863F"/>
          <w:sz w:val="13"/>
          <w:szCs w:val="13"/>
          <w:vertAlign w:val="superscript"/>
        </w:rPr>
        <w:t xml:space="preserve"> [12]</w:t>
      </w:r>
      <w:r>
        <w:br w:type="page"/>
      </w:r>
    </w:p>
    <w:p>
      <w:pPr>
        <w:pStyle w:val="Normal"/>
        <w:keepNext w:val="true"/>
        <w:spacing w:before="0" w:after="40"/>
        <w:rPr/>
      </w:pPr>
      <w:r>
        <w:rPr>
          <w:rFonts w:eastAsia="Calibri" w:cs="Calibri"/>
          <w:b/>
          <w:bCs/>
          <w:color w:val="C6A15B"/>
          <w:spacing w:val="30"/>
          <w:sz w:val="16"/>
          <w:szCs w:val="16"/>
        </w:rPr>
        <w:t>PART E</w:t>
      </w:r>
    </w:p>
    <w:p>
      <w:pPr>
        <w:pStyle w:val="Heading1"/>
        <w:keepNext w:val="true"/>
        <w:pBdr>
          <w:bottom w:val="single" w:sz="12" w:space="6" w:color="C6A15B"/>
        </w:pBdr>
        <w:spacing w:before="320" w:after="140"/>
        <w:rPr/>
      </w:pPr>
      <w:r>
        <w:rPr>
          <w:rFonts w:eastAsia="Calibri" w:cs="Calibri" w:ascii="Calibri" w:hAnsi="Calibri"/>
          <w:b/>
          <w:bCs/>
          <w:color w:val="111827"/>
          <w:sz w:val="30"/>
          <w:szCs w:val="30"/>
        </w:rPr>
        <w:t>Facilitator’s toolkit</w:t>
      </w:r>
    </w:p>
    <w:p>
      <w:pPr>
        <w:pStyle w:val="Heading2"/>
        <w:keepNext w:val="true"/>
        <w:spacing w:before="240" w:after="100"/>
        <w:rPr/>
      </w:pPr>
      <w:r>
        <w:rPr>
          <w:rFonts w:eastAsia="Calibri" w:cs="Calibri" w:ascii="Calibri" w:hAnsi="Calibri"/>
          <w:b/>
          <w:bCs/>
          <w:color w:val="222B42"/>
          <w:sz w:val="25"/>
          <w:szCs w:val="25"/>
        </w:rPr>
        <w:t>Recruiting the right champions</w:t>
      </w:r>
    </w:p>
    <w:p>
      <w:pPr>
        <w:pStyle w:val="Normal"/>
        <w:spacing w:lineRule="exact" w:line="268" w:before="0" w:after="120"/>
        <w:rPr/>
      </w:pPr>
      <w:r>
        <w:rPr>
          <w:rFonts w:eastAsia="Calibri" w:cs="Calibri"/>
          <w:color w:val="2C3340"/>
          <w:sz w:val="21"/>
          <w:szCs w:val="21"/>
        </w:rPr>
        <w:t>Not every older woman is a champion in waiting. Recruit for standing and openness, not seniority alone.</w:t>
      </w:r>
      <w:r>
        <w:rPr>
          <w:rFonts w:eastAsia="Calibri" w:cs="Calibri"/>
          <w:b/>
          <w:bCs/>
          <w:color w:val="A8863F"/>
          <w:sz w:val="13"/>
          <w:szCs w:val="13"/>
          <w:vertAlign w:val="superscript"/>
        </w:rPr>
        <w:t xml:space="preserve"> [5]</w:t>
      </w:r>
    </w:p>
    <w:p>
      <w:pPr>
        <w:pStyle w:val="ListParagraph"/>
        <w:numPr>
          <w:ilvl w:val="0"/>
          <w:numId w:val="1"/>
        </w:numPr>
        <w:spacing w:lineRule="exact" w:line="258" w:before="0" w:after="70"/>
        <w:rPr/>
      </w:pPr>
      <w:r>
        <w:rPr>
          <w:rFonts w:eastAsia="Calibri" w:cs="Calibri"/>
          <w:b/>
          <w:bCs/>
          <w:i w:val="false"/>
          <w:iCs w:val="false"/>
          <w:color w:val="222B42"/>
          <w:sz w:val="21"/>
          <w:szCs w:val="21"/>
        </w:rPr>
        <w:t xml:space="preserve">Standing. </w:t>
      </w:r>
      <w:r>
        <w:rPr>
          <w:rFonts w:eastAsia="Calibri" w:cs="Calibri"/>
          <w:b w:val="false"/>
          <w:bCs w:val="false"/>
          <w:i w:val="false"/>
          <w:iCs w:val="false"/>
          <w:color w:val="2C3340"/>
          <w:sz w:val="21"/>
          <w:szCs w:val="21"/>
        </w:rPr>
        <w:t>Respected in her network — an opinion leader others already watch (a family-group admin, a women’s-group elder).</w:t>
      </w:r>
    </w:p>
    <w:p>
      <w:pPr>
        <w:pStyle w:val="ListParagraph"/>
        <w:numPr>
          <w:ilvl w:val="0"/>
          <w:numId w:val="1"/>
        </w:numPr>
        <w:spacing w:lineRule="exact" w:line="258" w:before="0" w:after="70"/>
        <w:rPr/>
      </w:pPr>
      <w:r>
        <w:rPr>
          <w:rFonts w:eastAsia="Calibri" w:cs="Calibri"/>
          <w:b/>
          <w:bCs/>
          <w:i w:val="false"/>
          <w:iCs w:val="false"/>
          <w:color w:val="222B42"/>
          <w:sz w:val="21"/>
          <w:szCs w:val="21"/>
        </w:rPr>
        <w:t xml:space="preserve">Openness. </w:t>
      </w:r>
      <w:r>
        <w:rPr>
          <w:rFonts w:eastAsia="Calibri" w:cs="Calibri"/>
          <w:b w:val="false"/>
          <w:bCs w:val="false"/>
          <w:i w:val="false"/>
          <w:iCs w:val="false"/>
          <w:color w:val="2C3340"/>
          <w:sz w:val="21"/>
          <w:szCs w:val="21"/>
        </w:rPr>
        <w:t>Shows some willingness to reconsider — asks questions, mentions a granddaughter, is troubled by a girl’s pain.</w:t>
      </w:r>
    </w:p>
    <w:p>
      <w:pPr>
        <w:pStyle w:val="ListParagraph"/>
        <w:numPr>
          <w:ilvl w:val="0"/>
          <w:numId w:val="1"/>
        </w:numPr>
        <w:spacing w:lineRule="exact" w:line="258" w:before="0" w:after="70"/>
        <w:rPr/>
      </w:pPr>
      <w:r>
        <w:rPr>
          <w:rFonts w:eastAsia="Calibri" w:cs="Calibri"/>
          <w:b/>
          <w:bCs/>
          <w:i w:val="false"/>
          <w:iCs w:val="false"/>
          <w:color w:val="222B42"/>
          <w:sz w:val="21"/>
          <w:szCs w:val="21"/>
        </w:rPr>
        <w:t xml:space="preserve">Reach. </w:t>
      </w:r>
      <w:r>
        <w:rPr>
          <w:rFonts w:eastAsia="Calibri" w:cs="Calibri"/>
          <w:b w:val="false"/>
          <w:bCs w:val="false"/>
          <w:i w:val="false"/>
          <w:iCs w:val="false"/>
          <w:color w:val="2C3340"/>
          <w:sz w:val="21"/>
          <w:szCs w:val="21"/>
        </w:rPr>
        <w:t>Sits at a busy junction — many nieces, a large family group, a market stall where women gather.</w:t>
      </w:r>
    </w:p>
    <w:p>
      <w:pPr>
        <w:pStyle w:val="ListParagraph"/>
        <w:numPr>
          <w:ilvl w:val="0"/>
          <w:numId w:val="1"/>
        </w:numPr>
        <w:spacing w:lineRule="exact" w:line="258" w:before="0" w:after="70"/>
        <w:rPr/>
      </w:pPr>
      <w:r>
        <w:rPr>
          <w:rFonts w:eastAsia="Calibri" w:cs="Calibri"/>
          <w:b/>
          <w:bCs/>
          <w:i w:val="false"/>
          <w:iCs w:val="false"/>
          <w:color w:val="222B42"/>
          <w:sz w:val="21"/>
          <w:szCs w:val="21"/>
        </w:rPr>
        <w:t xml:space="preserve">A story. </w:t>
      </w:r>
      <w:r>
        <w:rPr>
          <w:rFonts w:eastAsia="Calibri" w:cs="Calibri"/>
          <w:b w:val="false"/>
          <w:bCs w:val="false"/>
          <w:i w:val="false"/>
          <w:iCs w:val="false"/>
          <w:color w:val="2C3340"/>
          <w:sz w:val="21"/>
          <w:szCs w:val="21"/>
        </w:rPr>
        <w:t>Ideally has her own change-of-heart to tell; nothing persuades another aunty like one of their own who changed.</w:t>
      </w:r>
    </w:p>
    <w:p>
      <w:pPr>
        <w:pStyle w:val="Heading2"/>
        <w:keepNext w:val="true"/>
        <w:spacing w:before="240" w:after="100"/>
        <w:rPr/>
      </w:pPr>
      <w:r>
        <w:rPr>
          <w:rFonts w:eastAsia="Calibri" w:cs="Calibri" w:ascii="Calibri" w:hAnsi="Calibri"/>
          <w:b/>
          <w:bCs/>
          <w:color w:val="222B42"/>
          <w:sz w:val="25"/>
          <w:szCs w:val="25"/>
        </w:rPr>
        <w:t>Do and don’t</w:t>
      </w:r>
    </w:p>
    <w:tbl>
      <w:tblPr>
        <w:tblW w:w="9360" w:type="dxa"/>
        <w:jc w:val="left"/>
        <w:tblInd w:w="0" w:type="dxa"/>
        <w:tblLayout w:type="fixed"/>
        <w:tblCellMar>
          <w:top w:w="90" w:type="dxa"/>
          <w:left w:w="130" w:type="dxa"/>
          <w:bottom w:w="90" w:type="dxa"/>
          <w:right w:w="130" w:type="dxa"/>
        </w:tblCellMar>
      </w:tblPr>
      <w:tblGrid>
        <w:gridCol w:w="4680"/>
        <w:gridCol w:w="4679"/>
      </w:tblGrid>
      <w:tr>
        <w:trPr>
          <w:tblHeader w:val="true"/>
        </w:trPr>
        <w:tc>
          <w:tcPr>
            <w:tcW w:w="4680" w:type="dxa"/>
            <w:tcBorders>
              <w:top w:val="single" w:sz="4" w:space="0" w:color="D9DDE5"/>
              <w:left w:val="single" w:sz="4" w:space="0" w:color="D9DDE5"/>
              <w:bottom w:val="single" w:sz="4" w:space="0" w:color="D9DDE5"/>
              <w:right w:val="single" w:sz="4" w:space="0" w:color="D9DDE5"/>
            </w:tcBorders>
            <w:shd w:fill="2E6B4F" w:val="clear"/>
          </w:tcPr>
          <w:p>
            <w:pPr>
              <w:pStyle w:val="Normal"/>
              <w:spacing w:lineRule="exact" w:line="252" w:before="0" w:after="0"/>
              <w:jc w:val="left"/>
              <w:rPr/>
            </w:pPr>
            <w:r>
              <w:rPr>
                <w:rFonts w:eastAsia="Calibri" w:cs="Calibri"/>
                <w:b/>
                <w:bCs/>
                <w:color w:val="FFFFFF"/>
                <w:sz w:val="20"/>
                <w:szCs w:val="20"/>
              </w:rPr>
              <w:t>Do</w:t>
            </w:r>
          </w:p>
        </w:tc>
        <w:tc>
          <w:tcPr>
            <w:tcW w:w="4679" w:type="dxa"/>
            <w:tcBorders>
              <w:top w:val="single" w:sz="4" w:space="0" w:color="D9DDE5"/>
              <w:left w:val="single" w:sz="4" w:space="0" w:color="D9DDE5"/>
              <w:bottom w:val="single" w:sz="4" w:space="0" w:color="D9DDE5"/>
              <w:right w:val="single" w:sz="4" w:space="0" w:color="D9DDE5"/>
            </w:tcBorders>
            <w:shd w:fill="B5462F" w:val="clear"/>
          </w:tcPr>
          <w:p>
            <w:pPr>
              <w:pStyle w:val="Normal"/>
              <w:spacing w:lineRule="exact" w:line="252" w:before="0" w:after="0"/>
              <w:jc w:val="left"/>
              <w:rPr/>
            </w:pPr>
            <w:r>
              <w:rPr>
                <w:rFonts w:eastAsia="Calibri" w:cs="Calibri"/>
                <w:b/>
                <w:bCs/>
                <w:color w:val="FFFFFF"/>
                <w:sz w:val="20"/>
                <w:szCs w:val="20"/>
              </w:rPr>
              <w:t>Don’t</w:t>
            </w:r>
          </w:p>
        </w:tc>
      </w:tr>
      <w:tr>
        <w:trPr/>
        <w:tc>
          <w:tcPr>
            <w:tcW w:w="4680" w:type="dxa"/>
            <w:tcBorders>
              <w:top w:val="single" w:sz="4" w:space="0" w:color="D9DDE5"/>
              <w:left w:val="single" w:sz="4" w:space="0" w:color="D9DDE5"/>
              <w:bottom w:val="single" w:sz="4" w:space="0" w:color="D9DDE5"/>
              <w:right w:val="single" w:sz="4" w:space="0" w:color="D9DDE5"/>
            </w:tcBorders>
            <w:shd w:fill="FDF5F2" w:val="clear"/>
          </w:tcPr>
          <w:p>
            <w:pPr>
              <w:pStyle w:val="Normal"/>
              <w:spacing w:lineRule="exact" w:line="252" w:before="0" w:after="0"/>
              <w:jc w:val="left"/>
              <w:rPr/>
            </w:pPr>
            <w:r>
              <w:rPr>
                <w:rFonts w:eastAsia="Calibri" w:cs="Calibri"/>
                <w:b w:val="false"/>
                <w:bCs w:val="false"/>
                <w:color w:val="2C3340"/>
                <w:sz w:val="20"/>
                <w:szCs w:val="20"/>
              </w:rPr>
              <w:t>Open every session by honouring their role and their love.</w:t>
            </w:r>
          </w:p>
        </w:tc>
        <w:tc>
          <w:tcPr>
            <w:tcW w:w="4679" w:type="dxa"/>
            <w:tcBorders>
              <w:top w:val="single" w:sz="4" w:space="0" w:color="D9DDE5"/>
              <w:left w:val="single" w:sz="4" w:space="0" w:color="D9DDE5"/>
              <w:bottom w:val="single" w:sz="4" w:space="0" w:color="D9DDE5"/>
              <w:right w:val="single" w:sz="4" w:space="0" w:color="D9DDE5"/>
            </w:tcBorders>
            <w:shd w:fill="F1F7F3" w:val="clear"/>
          </w:tcPr>
          <w:p>
            <w:pPr>
              <w:pStyle w:val="Normal"/>
              <w:spacing w:lineRule="exact" w:line="252" w:before="0" w:after="0"/>
              <w:jc w:val="left"/>
              <w:rPr/>
            </w:pPr>
            <w:r>
              <w:rPr>
                <w:rFonts w:eastAsia="Calibri" w:cs="Calibri"/>
                <w:b w:val="false"/>
                <w:bCs w:val="false"/>
                <w:color w:val="2C3340"/>
                <w:sz w:val="20"/>
                <w:szCs w:val="20"/>
              </w:rPr>
              <w:t>Never open with what they are doing wrong.</w:t>
            </w:r>
          </w:p>
        </w:tc>
      </w:tr>
      <w:tr>
        <w:trPr/>
        <w:tc>
          <w:tcPr>
            <w:tcW w:w="4680" w:type="dxa"/>
            <w:tcBorders>
              <w:top w:val="single" w:sz="4" w:space="0" w:color="D9DDE5"/>
              <w:left w:val="single" w:sz="4" w:space="0" w:color="D9DDE5"/>
              <w:bottom w:val="single" w:sz="4" w:space="0" w:color="D9DDE5"/>
              <w:right w:val="single" w:sz="4" w:space="0" w:color="D9DDE5"/>
            </w:tcBorders>
            <w:shd w:fill="FBECE8" w:val="clear"/>
          </w:tcPr>
          <w:p>
            <w:pPr>
              <w:pStyle w:val="Normal"/>
              <w:spacing w:lineRule="exact" w:line="252" w:before="0" w:after="0"/>
              <w:jc w:val="left"/>
              <w:rPr/>
            </w:pPr>
            <w:r>
              <w:rPr>
                <w:rFonts w:eastAsia="Calibri" w:cs="Calibri"/>
                <w:b w:val="false"/>
                <w:bCs w:val="false"/>
                <w:color w:val="2C3340"/>
                <w:sz w:val="20"/>
                <w:szCs w:val="20"/>
              </w:rPr>
              <w:t>Let a clinician carry the facts; let the women carry the language.</w:t>
            </w:r>
          </w:p>
        </w:tc>
        <w:tc>
          <w:tcPr>
            <w:tcW w:w="4679" w:type="dxa"/>
            <w:tcBorders>
              <w:top w:val="single" w:sz="4" w:space="0" w:color="D9DDE5"/>
              <w:left w:val="single" w:sz="4" w:space="0" w:color="D9DDE5"/>
              <w:bottom w:val="single" w:sz="4" w:space="0" w:color="D9DDE5"/>
              <w:right w:val="single" w:sz="4" w:space="0" w:color="D9DDE5"/>
            </w:tcBorders>
            <w:shd w:fill="E9F1EC" w:val="clear"/>
          </w:tcPr>
          <w:p>
            <w:pPr>
              <w:pStyle w:val="Normal"/>
              <w:spacing w:lineRule="exact" w:line="252" w:before="0" w:after="0"/>
              <w:jc w:val="left"/>
              <w:rPr/>
            </w:pPr>
            <w:r>
              <w:rPr>
                <w:rFonts w:eastAsia="Calibri" w:cs="Calibri"/>
                <w:b w:val="false"/>
                <w:bCs w:val="false"/>
                <w:color w:val="2C3340"/>
                <w:sz w:val="20"/>
                <w:szCs w:val="20"/>
              </w:rPr>
              <w:t>Don’t let a young facilitator “correct” elders — it inverts the respect the method needs.</w:t>
            </w:r>
          </w:p>
        </w:tc>
      </w:tr>
      <w:tr>
        <w:trPr/>
        <w:tc>
          <w:tcPr>
            <w:tcW w:w="4680" w:type="dxa"/>
            <w:tcBorders>
              <w:top w:val="single" w:sz="4" w:space="0" w:color="D9DDE5"/>
              <w:left w:val="single" w:sz="4" w:space="0" w:color="D9DDE5"/>
              <w:bottom w:val="single" w:sz="4" w:space="0" w:color="D9DDE5"/>
              <w:right w:val="single" w:sz="4" w:space="0" w:color="D9DDE5"/>
            </w:tcBorders>
            <w:shd w:fill="FDF5F2" w:val="clear"/>
          </w:tcPr>
          <w:p>
            <w:pPr>
              <w:pStyle w:val="Normal"/>
              <w:spacing w:lineRule="exact" w:line="252" w:before="0" w:after="0"/>
              <w:jc w:val="left"/>
              <w:rPr/>
            </w:pPr>
            <w:r>
              <w:rPr>
                <w:rFonts w:eastAsia="Calibri" w:cs="Calibri"/>
                <w:b w:val="false"/>
                <w:bCs w:val="false"/>
                <w:color w:val="2C3340"/>
                <w:sz w:val="20"/>
                <w:szCs w:val="20"/>
              </w:rPr>
              <w:t>Meet each woman at her stage; reinforce small shifts.</w:t>
            </w:r>
          </w:p>
        </w:tc>
        <w:tc>
          <w:tcPr>
            <w:tcW w:w="4679" w:type="dxa"/>
            <w:tcBorders>
              <w:top w:val="single" w:sz="4" w:space="0" w:color="D9DDE5"/>
              <w:left w:val="single" w:sz="4" w:space="0" w:color="D9DDE5"/>
              <w:bottom w:val="single" w:sz="4" w:space="0" w:color="D9DDE5"/>
              <w:right w:val="single" w:sz="4" w:space="0" w:color="D9DDE5"/>
            </w:tcBorders>
            <w:shd w:fill="F1F7F3" w:val="clear"/>
          </w:tcPr>
          <w:p>
            <w:pPr>
              <w:pStyle w:val="Normal"/>
              <w:spacing w:lineRule="exact" w:line="252" w:before="0" w:after="0"/>
              <w:jc w:val="left"/>
              <w:rPr/>
            </w:pPr>
            <w:r>
              <w:rPr>
                <w:rFonts w:eastAsia="Calibri" w:cs="Calibri"/>
                <w:b w:val="false"/>
                <w:bCs w:val="false"/>
                <w:color w:val="2C3340"/>
                <w:sz w:val="20"/>
                <w:szCs w:val="20"/>
              </w:rPr>
              <w:t>Don’t rush a gatekeeper to champion in one meeting.</w:t>
            </w:r>
          </w:p>
        </w:tc>
      </w:tr>
      <w:tr>
        <w:trPr/>
        <w:tc>
          <w:tcPr>
            <w:tcW w:w="4680" w:type="dxa"/>
            <w:tcBorders>
              <w:top w:val="single" w:sz="4" w:space="0" w:color="D9DDE5"/>
              <w:left w:val="single" w:sz="4" w:space="0" w:color="D9DDE5"/>
              <w:bottom w:val="single" w:sz="4" w:space="0" w:color="D9DDE5"/>
              <w:right w:val="single" w:sz="4" w:space="0" w:color="D9DDE5"/>
            </w:tcBorders>
            <w:shd w:fill="FBECE8" w:val="clear"/>
          </w:tcPr>
          <w:p>
            <w:pPr>
              <w:pStyle w:val="Normal"/>
              <w:spacing w:lineRule="exact" w:line="252" w:before="0" w:after="0"/>
              <w:jc w:val="left"/>
              <w:rPr/>
            </w:pPr>
            <w:r>
              <w:rPr>
                <w:rFonts w:eastAsia="Calibri" w:cs="Calibri"/>
                <w:b w:val="false"/>
                <w:bCs w:val="false"/>
                <w:color w:val="2C3340"/>
                <w:sz w:val="20"/>
                <w:szCs w:val="20"/>
              </w:rPr>
              <w:t>Keep the new scripts warm and in local language.</w:t>
            </w:r>
          </w:p>
        </w:tc>
        <w:tc>
          <w:tcPr>
            <w:tcW w:w="4679" w:type="dxa"/>
            <w:tcBorders>
              <w:top w:val="single" w:sz="4" w:space="0" w:color="D9DDE5"/>
              <w:left w:val="single" w:sz="4" w:space="0" w:color="D9DDE5"/>
              <w:bottom w:val="single" w:sz="4" w:space="0" w:color="D9DDE5"/>
              <w:right w:val="single" w:sz="4" w:space="0" w:color="D9DDE5"/>
            </w:tcBorders>
            <w:shd w:fill="E9F1EC" w:val="clear"/>
          </w:tcPr>
          <w:p>
            <w:pPr>
              <w:pStyle w:val="Normal"/>
              <w:spacing w:lineRule="exact" w:line="252" w:before="0" w:after="0"/>
              <w:jc w:val="left"/>
              <w:rPr/>
            </w:pPr>
            <w:r>
              <w:rPr>
                <w:rFonts w:eastAsia="Calibri" w:cs="Calibri"/>
                <w:b w:val="false"/>
                <w:bCs w:val="false"/>
                <w:color w:val="2C3340"/>
                <w:sz w:val="20"/>
                <w:szCs w:val="20"/>
              </w:rPr>
              <w:t>Don’t hand out poster-language slogans to say in a kitchen.</w:t>
            </w:r>
          </w:p>
        </w:tc>
      </w:tr>
    </w:tbl>
    <w:p>
      <w:pPr>
        <w:pStyle w:val="Normal"/>
        <w:spacing w:before="0" w:after="100"/>
        <w:rPr/>
      </w:pPr>
      <w:r>
        <w:rPr/>
      </w:r>
    </w:p>
    <w:p>
      <w:pPr>
        <w:pStyle w:val="Heading2"/>
        <w:keepNext w:val="true"/>
        <w:spacing w:before="240" w:after="100"/>
        <w:rPr/>
      </w:pPr>
      <w:r>
        <w:rPr>
          <w:rFonts w:eastAsia="Calibri" w:cs="Calibri" w:ascii="Calibri" w:hAnsi="Calibri"/>
          <w:b/>
          <w:bCs/>
          <w:color w:val="222B42"/>
          <w:sz w:val="25"/>
          <w:szCs w:val="25"/>
        </w:rPr>
        <w:t>Measuring change</w:t>
      </w:r>
    </w:p>
    <w:p>
      <w:pPr>
        <w:pStyle w:val="Normal"/>
        <w:spacing w:lineRule="exact" w:line="268" w:before="0" w:after="120"/>
        <w:rPr/>
      </w:pPr>
      <w:r>
        <w:rPr>
          <w:rFonts w:eastAsia="Calibri" w:cs="Calibri"/>
          <w:color w:val="2C3340"/>
          <w:sz w:val="21"/>
          <w:szCs w:val="21"/>
        </w:rPr>
        <w:t>Track movement along the pathway, not just attendance. Simple, honest markers:</w:t>
      </w:r>
      <w:r>
        <w:rPr>
          <w:rFonts w:eastAsia="Calibri" w:cs="Calibri"/>
          <w:b/>
          <w:bCs/>
          <w:color w:val="A8863F"/>
          <w:sz w:val="13"/>
          <w:szCs w:val="13"/>
          <w:vertAlign w:val="superscript"/>
        </w:rPr>
        <w:t xml:space="preserve"> [1]</w:t>
      </w:r>
    </w:p>
    <w:p>
      <w:pPr>
        <w:pStyle w:val="ListParagraph"/>
        <w:numPr>
          <w:ilvl w:val="0"/>
          <w:numId w:val="1"/>
        </w:numPr>
        <w:spacing w:lineRule="exact" w:line="258" w:before="0" w:after="70"/>
        <w:rPr/>
      </w:pPr>
      <w:r>
        <w:rPr>
          <w:rFonts w:eastAsia="Calibri" w:cs="Calibri"/>
          <w:b w:val="false"/>
          <w:bCs w:val="false"/>
          <w:i w:val="false"/>
          <w:iCs w:val="false"/>
          <w:caps w:val="false"/>
          <w:smallCaps w:val="false"/>
          <w:color w:val="2C3340"/>
          <w:sz w:val="21"/>
          <w:szCs w:val="21"/>
        </w:rPr>
        <w:t>Aunties can state, in their own words, at least two accurate new scripts (Stage 2–3).</w:t>
      </w:r>
    </w:p>
    <w:p>
      <w:pPr>
        <w:pStyle w:val="ListParagraph"/>
        <w:numPr>
          <w:ilvl w:val="0"/>
          <w:numId w:val="1"/>
        </w:numPr>
        <w:spacing w:lineRule="exact" w:line="258" w:before="0" w:after="70"/>
        <w:rPr/>
      </w:pPr>
      <w:r>
        <w:rPr>
          <w:rFonts w:eastAsia="Calibri" w:cs="Calibri"/>
          <w:b w:val="false"/>
          <w:bCs w:val="false"/>
          <w:i w:val="false"/>
          <w:iCs w:val="false"/>
          <w:caps w:val="false"/>
          <w:smallCaps w:val="false"/>
          <w:color w:val="2C3340"/>
          <w:sz w:val="21"/>
          <w:szCs w:val="21"/>
        </w:rPr>
        <w:t>Aunties report using a new script in a real family conversation (Stage 3).</w:t>
      </w:r>
    </w:p>
    <w:p>
      <w:pPr>
        <w:pStyle w:val="ListParagraph"/>
        <w:numPr>
          <w:ilvl w:val="0"/>
          <w:numId w:val="1"/>
        </w:numPr>
        <w:spacing w:lineRule="exact" w:line="258" w:before="0" w:after="70"/>
        <w:rPr/>
      </w:pPr>
      <w:r>
        <w:rPr>
          <w:rFonts w:eastAsia="Calibri" w:cs="Calibri"/>
          <w:b w:val="false"/>
          <w:bCs w:val="false"/>
          <w:i w:val="false"/>
          <w:iCs w:val="false"/>
          <w:caps w:val="false"/>
          <w:smallCaps w:val="false"/>
          <w:color w:val="2C3340"/>
          <w:sz w:val="21"/>
          <w:szCs w:val="21"/>
        </w:rPr>
        <w:t>Family-group admins post or forward at least one accurate correction (Stage 3).</w:t>
      </w:r>
    </w:p>
    <w:p>
      <w:pPr>
        <w:pStyle w:val="ListParagraph"/>
        <w:numPr>
          <w:ilvl w:val="0"/>
          <w:numId w:val="1"/>
        </w:numPr>
        <w:spacing w:lineRule="exact" w:line="258" w:before="0" w:after="70"/>
        <w:rPr/>
      </w:pPr>
      <w:r>
        <w:rPr>
          <w:rFonts w:eastAsia="Calibri" w:cs="Calibri"/>
          <w:b w:val="false"/>
          <w:bCs w:val="false"/>
          <w:i w:val="false"/>
          <w:iCs w:val="false"/>
          <w:caps w:val="false"/>
          <w:smallCaps w:val="false"/>
          <w:color w:val="2C3340"/>
          <w:sz w:val="21"/>
          <w:szCs w:val="21"/>
        </w:rPr>
        <w:t>At least some aunties speak up in a women’s group or mentor another aunty (Stage 4).</w:t>
      </w:r>
    </w:p>
    <w:p>
      <w:pPr>
        <w:pStyle w:val="ListParagraph"/>
        <w:numPr>
          <w:ilvl w:val="0"/>
          <w:numId w:val="1"/>
        </w:numPr>
        <w:spacing w:lineRule="exact" w:line="258" w:before="0" w:after="70"/>
        <w:rPr/>
      </w:pPr>
      <w:r>
        <w:rPr>
          <w:rFonts w:eastAsia="Calibri" w:cs="Calibri"/>
          <w:b w:val="false"/>
          <w:bCs w:val="false"/>
          <w:i w:val="false"/>
          <w:iCs w:val="false"/>
          <w:caps w:val="false"/>
          <w:smallCaps w:val="false"/>
          <w:color w:val="2C3340"/>
          <w:sz w:val="21"/>
          <w:szCs w:val="21"/>
        </w:rPr>
        <w:t>Change-of-heart stories are captured (with consent) and travelling on radio/WhatsApp (Stage 4).</w:t>
      </w:r>
      <w:r>
        <w:br w:type="page"/>
      </w:r>
    </w:p>
    <w:p>
      <w:pPr>
        <w:pStyle w:val="Normal"/>
        <w:keepNext w:val="true"/>
        <w:spacing w:before="0" w:after="40"/>
        <w:rPr/>
      </w:pPr>
      <w:r>
        <w:rPr>
          <w:rFonts w:eastAsia="Calibri" w:cs="Calibri"/>
          <w:b/>
          <w:bCs/>
          <w:color w:val="C6A15B"/>
          <w:spacing w:val="30"/>
          <w:sz w:val="16"/>
          <w:szCs w:val="16"/>
        </w:rPr>
        <w:t>APPENDIX A</w:t>
      </w:r>
    </w:p>
    <w:p>
      <w:pPr>
        <w:pStyle w:val="Heading1"/>
        <w:keepNext w:val="true"/>
        <w:pBdr>
          <w:bottom w:val="single" w:sz="12" w:space="6" w:color="C6A15B"/>
        </w:pBdr>
        <w:spacing w:before="320" w:after="140"/>
        <w:rPr/>
      </w:pPr>
      <w:r>
        <w:rPr>
          <w:rFonts w:eastAsia="Calibri" w:cs="Calibri" w:ascii="Calibri" w:hAnsi="Calibri"/>
          <w:b/>
          <w:bCs/>
          <w:color w:val="111827"/>
          <w:sz w:val="30"/>
          <w:szCs w:val="30"/>
        </w:rPr>
        <w:t>The Champion Aunty’s card (template)</w:t>
      </w:r>
    </w:p>
    <w:p>
      <w:pPr>
        <w:pStyle w:val="Normal"/>
        <w:spacing w:lineRule="exact" w:line="264" w:before="0" w:after="120"/>
        <w:jc w:val="left"/>
        <w:rPr/>
      </w:pPr>
      <w:r>
        <w:rPr>
          <w:rFonts w:eastAsia="Calibri" w:cs="Calibri"/>
          <w:b w:val="false"/>
          <w:bCs w:val="false"/>
          <w:i w:val="false"/>
          <w:iCs w:val="false"/>
          <w:caps w:val="false"/>
          <w:smallCaps w:val="false"/>
          <w:color w:val="2C3340"/>
          <w:sz w:val="21"/>
          <w:szCs w:val="21"/>
        </w:rPr>
        <w:t>A pocket card for trained champions — the pledge on one side, the new scripts on the other.</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F4F1EA"/>
              <w:left w:val="single" w:sz="28" w:space="0" w:color="C6A15B"/>
              <w:bottom w:val="single" w:sz="2" w:space="0" w:color="F4F1EA"/>
              <w:right w:val="single" w:sz="2" w:space="0" w:color="F4F1EA"/>
            </w:tcBorders>
            <w:shd w:fill="F4F1EA" w:val="clear"/>
          </w:tcPr>
          <w:p>
            <w:pPr>
              <w:pStyle w:val="Normal"/>
              <w:spacing w:before="0" w:after="60"/>
              <w:rPr/>
            </w:pPr>
            <w:r>
              <w:rPr>
                <w:rFonts w:eastAsia="Calibri" w:cs="Calibri"/>
                <w:b/>
                <w:bCs/>
                <w:color w:val="C6A15B"/>
                <w:spacing w:val="30"/>
                <w:sz w:val="15"/>
                <w:szCs w:val="15"/>
              </w:rPr>
              <w:t>MY PLEDGE</w:t>
            </w:r>
          </w:p>
          <w:p>
            <w:pPr>
              <w:pStyle w:val="Normal"/>
              <w:spacing w:lineRule="exact" w:line="264" w:before="0" w:after="0"/>
              <w:rPr/>
            </w:pPr>
            <w:r>
              <w:rPr>
                <w:rFonts w:eastAsia="Calibri" w:cs="Calibri"/>
                <w:i/>
                <w:iCs/>
                <w:color w:val="222B42"/>
                <w:sz w:val="20"/>
                <w:szCs w:val="20"/>
              </w:rPr>
              <w:t>I am a trusted voice in my family. I will pass on love AND the right facts. I will not shame a girl for looking after her health. When a girl comes to me afraid, I will listen, tell her the truth, and go with her to the nurse if she wants. My daughters’ health is my honour.</w:t>
            </w:r>
          </w:p>
        </w:tc>
      </w:tr>
    </w:tbl>
    <w:p>
      <w:pPr>
        <w:pStyle w:val="Normal"/>
        <w:spacing w:before="0" w:after="120"/>
        <w:rPr/>
      </w:pPr>
      <w:r>
        <w:rPr/>
      </w:r>
      <w:r>
        <w:br w:type="page"/>
      </w:r>
    </w:p>
    <w:p>
      <w:pPr>
        <w:pStyle w:val="Normal"/>
        <w:keepNext w:val="true"/>
        <w:spacing w:before="0" w:after="40"/>
        <w:rPr/>
      </w:pPr>
      <w:r>
        <w:rPr>
          <w:rFonts w:eastAsia="Calibri" w:cs="Calibri"/>
          <w:b/>
          <w:bCs/>
          <w:color w:val="C6A15B"/>
          <w:spacing w:val="30"/>
          <w:sz w:val="16"/>
          <w:szCs w:val="16"/>
        </w:rPr>
        <w:t>APPENDIX B</w:t>
      </w:r>
    </w:p>
    <w:p>
      <w:pPr>
        <w:pStyle w:val="Heading1"/>
        <w:keepNext w:val="true"/>
        <w:pBdr>
          <w:bottom w:val="single" w:sz="12" w:space="6" w:color="C6A15B"/>
        </w:pBdr>
        <w:spacing w:before="320" w:after="140"/>
        <w:rPr/>
      </w:pPr>
      <w:r>
        <w:rPr>
          <w:rFonts w:eastAsia="Calibri" w:cs="Calibri" w:ascii="Calibri" w:hAnsi="Calibri"/>
          <w:b/>
          <w:bCs/>
          <w:color w:val="111827"/>
          <w:sz w:val="30"/>
          <w:szCs w:val="30"/>
        </w:rPr>
        <w:t>Myth &amp; Fact card for elders</w:t>
      </w:r>
    </w:p>
    <w:p>
      <w:pPr>
        <w:pStyle w:val="Normal"/>
        <w:spacing w:lineRule="exact" w:line="264" w:before="0" w:after="120"/>
        <w:jc w:val="left"/>
        <w:rPr/>
      </w:pPr>
      <w:r>
        <w:rPr>
          <w:rFonts w:eastAsia="Calibri" w:cs="Calibri"/>
          <w:b w:val="false"/>
          <w:bCs w:val="false"/>
          <w:i w:val="false"/>
          <w:iCs w:val="false"/>
          <w:caps w:val="false"/>
          <w:smallCaps w:val="false"/>
          <w:color w:val="2C3340"/>
          <w:sz w:val="21"/>
          <w:szCs w:val="21"/>
        </w:rPr>
        <w:t>The elder-facing quick reference used in Session 2. Lead with the fact; name the myth once.</w:t>
      </w:r>
    </w:p>
    <w:tbl>
      <w:tblPr>
        <w:tblW w:w="9360" w:type="dxa"/>
        <w:jc w:val="left"/>
        <w:tblInd w:w="0" w:type="dxa"/>
        <w:tblLayout w:type="fixed"/>
        <w:tblCellMar>
          <w:top w:w="90" w:type="dxa"/>
          <w:left w:w="130" w:type="dxa"/>
          <w:bottom w:w="90" w:type="dxa"/>
          <w:right w:w="130" w:type="dxa"/>
        </w:tblCellMar>
      </w:tblPr>
      <w:tblGrid>
        <w:gridCol w:w="4680"/>
        <w:gridCol w:w="4679"/>
      </w:tblGrid>
      <w:tr>
        <w:trPr>
          <w:tblHeader w:val="true"/>
        </w:trPr>
        <w:tc>
          <w:tcPr>
            <w:tcW w:w="4680" w:type="dxa"/>
            <w:tcBorders>
              <w:top w:val="single" w:sz="4" w:space="0" w:color="D9DDE5"/>
              <w:left w:val="single" w:sz="4" w:space="0" w:color="D9DDE5"/>
              <w:bottom w:val="single" w:sz="4" w:space="0" w:color="D9DDE5"/>
              <w:right w:val="single" w:sz="4" w:space="0" w:color="D9DDE5"/>
            </w:tcBorders>
            <w:shd w:fill="B5462F" w:val="clear"/>
          </w:tcPr>
          <w:p>
            <w:pPr>
              <w:pStyle w:val="Normal"/>
              <w:spacing w:lineRule="exact" w:line="252" w:before="0" w:after="0"/>
              <w:jc w:val="left"/>
              <w:rPr/>
            </w:pPr>
            <w:r>
              <w:rPr>
                <w:rFonts w:eastAsia="Calibri" w:cs="Calibri"/>
                <w:b/>
                <w:bCs/>
                <w:color w:val="FFFFFF"/>
                <w:sz w:val="20"/>
                <w:szCs w:val="20"/>
              </w:rPr>
              <w:t>The warning we heard</w:t>
            </w:r>
          </w:p>
        </w:tc>
        <w:tc>
          <w:tcPr>
            <w:tcW w:w="4679" w:type="dxa"/>
            <w:tcBorders>
              <w:top w:val="single" w:sz="4" w:space="0" w:color="D9DDE5"/>
              <w:left w:val="single" w:sz="4" w:space="0" w:color="D9DDE5"/>
              <w:bottom w:val="single" w:sz="4" w:space="0" w:color="D9DDE5"/>
              <w:right w:val="single" w:sz="4" w:space="0" w:color="D9DDE5"/>
            </w:tcBorders>
            <w:shd w:fill="2E6B4F" w:val="clear"/>
          </w:tcPr>
          <w:p>
            <w:pPr>
              <w:pStyle w:val="Normal"/>
              <w:spacing w:lineRule="exact" w:line="252" w:before="0" w:after="0"/>
              <w:jc w:val="left"/>
              <w:rPr/>
            </w:pPr>
            <w:r>
              <w:rPr>
                <w:rFonts w:eastAsia="Calibri" w:cs="Calibri"/>
                <w:b/>
                <w:bCs/>
                <w:color w:val="FFFFFF"/>
                <w:sz w:val="20"/>
                <w:szCs w:val="20"/>
              </w:rPr>
              <w:t>The truth to pass on instead</w:t>
            </w:r>
          </w:p>
        </w:tc>
      </w:tr>
      <w:tr>
        <w:trPr/>
        <w:tc>
          <w:tcPr>
            <w:tcW w:w="4680" w:type="dxa"/>
            <w:tcBorders>
              <w:top w:val="single" w:sz="4" w:space="0" w:color="D9DDE5"/>
              <w:left w:val="single" w:sz="4" w:space="0" w:color="D9DDE5"/>
              <w:bottom w:val="single" w:sz="4" w:space="0" w:color="D9DDE5"/>
              <w:right w:val="single" w:sz="4" w:space="0" w:color="D9DDE5"/>
            </w:tcBorders>
            <w:shd w:fill="FDF5F2" w:val="clear"/>
          </w:tcPr>
          <w:p>
            <w:pPr>
              <w:pStyle w:val="Normal"/>
              <w:spacing w:lineRule="exact" w:line="252" w:before="0" w:after="0"/>
              <w:jc w:val="left"/>
              <w:rPr/>
            </w:pPr>
            <w:r>
              <w:rPr>
                <w:rFonts w:eastAsia="Calibri" w:cs="Calibri"/>
                <w:b w:val="false"/>
                <w:bCs w:val="false"/>
                <w:color w:val="2C3340"/>
                <w:sz w:val="20"/>
                <w:szCs w:val="20"/>
              </w:rPr>
              <w:t>Family planning makes a woman barren.</w:t>
            </w:r>
          </w:p>
        </w:tc>
        <w:tc>
          <w:tcPr>
            <w:tcW w:w="4679" w:type="dxa"/>
            <w:tcBorders>
              <w:top w:val="single" w:sz="4" w:space="0" w:color="D9DDE5"/>
              <w:left w:val="single" w:sz="4" w:space="0" w:color="D9DDE5"/>
              <w:bottom w:val="single" w:sz="4" w:space="0" w:color="D9DDE5"/>
              <w:right w:val="single" w:sz="4" w:space="0" w:color="D9DDE5"/>
            </w:tcBorders>
            <w:shd w:fill="F1F7F3" w:val="clear"/>
          </w:tcPr>
          <w:p>
            <w:pPr>
              <w:pStyle w:val="Normal"/>
              <w:spacing w:lineRule="exact" w:line="252" w:before="0" w:after="0"/>
              <w:jc w:val="left"/>
              <w:rPr/>
            </w:pPr>
            <w:r>
              <w:rPr>
                <w:rFonts w:eastAsia="Calibri" w:cs="Calibri"/>
                <w:b w:val="false"/>
                <w:bCs w:val="false"/>
                <w:color w:val="2C3340"/>
                <w:sz w:val="20"/>
                <w:szCs w:val="20"/>
              </w:rPr>
              <w:t>Fertility returns after you stop. Spacing births does not stop you having children later.</w:t>
            </w:r>
          </w:p>
        </w:tc>
      </w:tr>
      <w:tr>
        <w:trPr/>
        <w:tc>
          <w:tcPr>
            <w:tcW w:w="4680" w:type="dxa"/>
            <w:tcBorders>
              <w:top w:val="single" w:sz="4" w:space="0" w:color="D9DDE5"/>
              <w:left w:val="single" w:sz="4" w:space="0" w:color="D9DDE5"/>
              <w:bottom w:val="single" w:sz="4" w:space="0" w:color="D9DDE5"/>
              <w:right w:val="single" w:sz="4" w:space="0" w:color="D9DDE5"/>
            </w:tcBorders>
            <w:shd w:fill="FBECE8" w:val="clear"/>
          </w:tcPr>
          <w:p>
            <w:pPr>
              <w:pStyle w:val="Normal"/>
              <w:spacing w:lineRule="exact" w:line="252" w:before="0" w:after="0"/>
              <w:jc w:val="left"/>
              <w:rPr/>
            </w:pPr>
            <w:r>
              <w:rPr>
                <w:rFonts w:eastAsia="Calibri" w:cs="Calibri"/>
                <w:b w:val="false"/>
                <w:bCs w:val="false"/>
                <w:color w:val="2C3340"/>
                <w:sz w:val="20"/>
                <w:szCs w:val="20"/>
              </w:rPr>
              <w:t>Depo / the injection damages the womb.</w:t>
            </w:r>
          </w:p>
        </w:tc>
        <w:tc>
          <w:tcPr>
            <w:tcW w:w="4679" w:type="dxa"/>
            <w:tcBorders>
              <w:top w:val="single" w:sz="4" w:space="0" w:color="D9DDE5"/>
              <w:left w:val="single" w:sz="4" w:space="0" w:color="D9DDE5"/>
              <w:bottom w:val="single" w:sz="4" w:space="0" w:color="D9DDE5"/>
              <w:right w:val="single" w:sz="4" w:space="0" w:color="D9DDE5"/>
            </w:tcBorders>
            <w:shd w:fill="E9F1EC" w:val="clear"/>
          </w:tcPr>
          <w:p>
            <w:pPr>
              <w:pStyle w:val="Normal"/>
              <w:spacing w:lineRule="exact" w:line="252" w:before="0" w:after="0"/>
              <w:jc w:val="left"/>
              <w:rPr/>
            </w:pPr>
            <w:r>
              <w:rPr>
                <w:rFonts w:eastAsia="Calibri" w:cs="Calibri"/>
                <w:b w:val="false"/>
                <w:bCs w:val="false"/>
                <w:color w:val="2C3340"/>
                <w:sz w:val="20"/>
                <w:szCs w:val="20"/>
              </w:rPr>
              <w:t>These methods are safe and well studied. If one doesn’t suit her, the nurse can change it.</w:t>
            </w:r>
          </w:p>
        </w:tc>
      </w:tr>
      <w:tr>
        <w:trPr/>
        <w:tc>
          <w:tcPr>
            <w:tcW w:w="4680" w:type="dxa"/>
            <w:tcBorders>
              <w:top w:val="single" w:sz="4" w:space="0" w:color="D9DDE5"/>
              <w:left w:val="single" w:sz="4" w:space="0" w:color="D9DDE5"/>
              <w:bottom w:val="single" w:sz="4" w:space="0" w:color="D9DDE5"/>
              <w:right w:val="single" w:sz="4" w:space="0" w:color="D9DDE5"/>
            </w:tcBorders>
            <w:shd w:fill="FDF5F2" w:val="clear"/>
          </w:tcPr>
          <w:p>
            <w:pPr>
              <w:pStyle w:val="Normal"/>
              <w:spacing w:lineRule="exact" w:line="252" w:before="0" w:after="0"/>
              <w:jc w:val="left"/>
              <w:rPr/>
            </w:pPr>
            <w:r>
              <w:rPr>
                <w:rFonts w:eastAsia="Calibri" w:cs="Calibri"/>
                <w:b w:val="false"/>
                <w:bCs w:val="false"/>
                <w:color w:val="2C3340"/>
                <w:sz w:val="20"/>
                <w:szCs w:val="20"/>
              </w:rPr>
              <w:t>Contraception means a girl plans to be loose.</w:t>
            </w:r>
          </w:p>
        </w:tc>
        <w:tc>
          <w:tcPr>
            <w:tcW w:w="4679" w:type="dxa"/>
            <w:tcBorders>
              <w:top w:val="single" w:sz="4" w:space="0" w:color="D9DDE5"/>
              <w:left w:val="single" w:sz="4" w:space="0" w:color="D9DDE5"/>
              <w:bottom w:val="single" w:sz="4" w:space="0" w:color="D9DDE5"/>
              <w:right w:val="single" w:sz="4" w:space="0" w:color="D9DDE5"/>
            </w:tcBorders>
            <w:shd w:fill="F1F7F3" w:val="clear"/>
          </w:tcPr>
          <w:p>
            <w:pPr>
              <w:pStyle w:val="Normal"/>
              <w:spacing w:lineRule="exact" w:line="252" w:before="0" w:after="0"/>
              <w:jc w:val="left"/>
              <w:rPr/>
            </w:pPr>
            <w:r>
              <w:rPr>
                <w:rFonts w:eastAsia="Calibri" w:cs="Calibri"/>
                <w:b w:val="false"/>
                <w:bCs w:val="false"/>
                <w:color w:val="2C3340"/>
                <w:sz w:val="20"/>
                <w:szCs w:val="20"/>
              </w:rPr>
              <w:t>Looking after your health is responsible. Many married women space their births too.</w:t>
            </w:r>
          </w:p>
        </w:tc>
      </w:tr>
      <w:tr>
        <w:trPr/>
        <w:tc>
          <w:tcPr>
            <w:tcW w:w="4680" w:type="dxa"/>
            <w:tcBorders>
              <w:top w:val="single" w:sz="4" w:space="0" w:color="D9DDE5"/>
              <w:left w:val="single" w:sz="4" w:space="0" w:color="D9DDE5"/>
              <w:bottom w:val="single" w:sz="4" w:space="0" w:color="D9DDE5"/>
              <w:right w:val="single" w:sz="4" w:space="0" w:color="D9DDE5"/>
            </w:tcBorders>
            <w:shd w:fill="FBECE8" w:val="clear"/>
          </w:tcPr>
          <w:p>
            <w:pPr>
              <w:pStyle w:val="Normal"/>
              <w:spacing w:lineRule="exact" w:line="252" w:before="0" w:after="0"/>
              <w:jc w:val="left"/>
              <w:rPr/>
            </w:pPr>
            <w:r>
              <w:rPr>
                <w:rFonts w:eastAsia="Calibri" w:cs="Calibri"/>
                <w:b w:val="false"/>
                <w:bCs w:val="false"/>
                <w:color w:val="2C3340"/>
                <w:sz w:val="20"/>
                <w:szCs w:val="20"/>
              </w:rPr>
              <w:t>A girl must marry and start children early.</w:t>
            </w:r>
          </w:p>
        </w:tc>
        <w:tc>
          <w:tcPr>
            <w:tcW w:w="4679" w:type="dxa"/>
            <w:tcBorders>
              <w:top w:val="single" w:sz="4" w:space="0" w:color="D9DDE5"/>
              <w:left w:val="single" w:sz="4" w:space="0" w:color="D9DDE5"/>
              <w:bottom w:val="single" w:sz="4" w:space="0" w:color="D9DDE5"/>
              <w:right w:val="single" w:sz="4" w:space="0" w:color="D9DDE5"/>
            </w:tcBorders>
            <w:shd w:fill="E9F1EC" w:val="clear"/>
          </w:tcPr>
          <w:p>
            <w:pPr>
              <w:pStyle w:val="Normal"/>
              <w:spacing w:lineRule="exact" w:line="252" w:before="0" w:after="0"/>
              <w:jc w:val="left"/>
              <w:rPr/>
            </w:pPr>
            <w:r>
              <w:rPr>
                <w:rFonts w:eastAsia="Calibri" w:cs="Calibri"/>
                <w:b w:val="false"/>
                <w:bCs w:val="false"/>
                <w:color w:val="2C3340"/>
                <w:sz w:val="20"/>
                <w:szCs w:val="20"/>
              </w:rPr>
              <w:t>A girl who finishes school and trains is a strong woman; children come when she is ready.</w:t>
            </w:r>
          </w:p>
        </w:tc>
      </w:tr>
      <w:tr>
        <w:trPr/>
        <w:tc>
          <w:tcPr>
            <w:tcW w:w="4680" w:type="dxa"/>
            <w:tcBorders>
              <w:top w:val="single" w:sz="4" w:space="0" w:color="D9DDE5"/>
              <w:left w:val="single" w:sz="4" w:space="0" w:color="D9DDE5"/>
              <w:bottom w:val="single" w:sz="4" w:space="0" w:color="D9DDE5"/>
              <w:right w:val="single" w:sz="4" w:space="0" w:color="D9DDE5"/>
            </w:tcBorders>
            <w:shd w:fill="FDF5F2" w:val="clear"/>
          </w:tcPr>
          <w:p>
            <w:pPr>
              <w:pStyle w:val="Normal"/>
              <w:spacing w:lineRule="exact" w:line="252" w:before="0" w:after="0"/>
              <w:jc w:val="left"/>
              <w:rPr/>
            </w:pPr>
            <w:r>
              <w:rPr>
                <w:rFonts w:eastAsia="Calibri" w:cs="Calibri"/>
                <w:b w:val="false"/>
                <w:bCs w:val="false"/>
                <w:color w:val="2C3340"/>
                <w:sz w:val="20"/>
                <w:szCs w:val="20"/>
              </w:rPr>
              <w:t>Going to the clinic brings shame.</w:t>
            </w:r>
          </w:p>
        </w:tc>
        <w:tc>
          <w:tcPr>
            <w:tcW w:w="4679" w:type="dxa"/>
            <w:tcBorders>
              <w:top w:val="single" w:sz="4" w:space="0" w:color="D9DDE5"/>
              <w:left w:val="single" w:sz="4" w:space="0" w:color="D9DDE5"/>
              <w:bottom w:val="single" w:sz="4" w:space="0" w:color="D9DDE5"/>
              <w:right w:val="single" w:sz="4" w:space="0" w:color="D9DDE5"/>
            </w:tcBorders>
            <w:shd w:fill="F1F7F3" w:val="clear"/>
          </w:tcPr>
          <w:p>
            <w:pPr>
              <w:pStyle w:val="Normal"/>
              <w:spacing w:lineRule="exact" w:line="252" w:before="0" w:after="0"/>
              <w:jc w:val="left"/>
              <w:rPr/>
            </w:pPr>
            <w:r>
              <w:rPr>
                <w:rFonts w:eastAsia="Calibri" w:cs="Calibri"/>
                <w:b w:val="false"/>
                <w:bCs w:val="false"/>
                <w:color w:val="2C3340"/>
                <w:sz w:val="20"/>
                <w:szCs w:val="20"/>
              </w:rPr>
              <w:t>A girl who cares for her health is to be respected. Go with her if she is afraid.</w:t>
            </w:r>
          </w:p>
        </w:tc>
      </w:tr>
    </w:tbl>
    <w:p>
      <w:pPr>
        <w:pStyle w:val="Normal"/>
        <w:spacing w:before="0" w:after="60"/>
        <w:rPr/>
      </w:pPr>
      <w:r>
        <w:rPr/>
      </w:r>
    </w:p>
    <w:p>
      <w:pPr>
        <w:pStyle w:val="Normal"/>
        <w:spacing w:lineRule="exact" w:line="250" w:before="0" w:after="130"/>
        <w:rPr/>
      </w:pPr>
      <w:r>
        <w:rPr>
          <w:rFonts w:eastAsia="Calibri" w:cs="Calibri"/>
          <w:i/>
          <w:iCs/>
          <w:color w:val="8892B0"/>
          <w:sz w:val="15"/>
          <w:szCs w:val="15"/>
        </w:rPr>
        <w:t>Facts confirmed with clinical guidance; belief prevalence: TIFA poll</w:t>
      </w:r>
      <w:r>
        <w:rPr>
          <w:rFonts w:eastAsia="Calibri" w:cs="Calibri"/>
          <w:b/>
          <w:bCs/>
          <w:color w:val="A8863F"/>
          <w:sz w:val="13"/>
          <w:szCs w:val="13"/>
          <w:vertAlign w:val="superscript"/>
        </w:rPr>
        <w:t xml:space="preserve"> [2]</w:t>
      </w:r>
      <w:r>
        <w:rPr>
          <w:rFonts w:eastAsia="Calibri" w:cs="Calibri"/>
          <w:i/>
          <w:iCs/>
          <w:color w:val="8892B0"/>
          <w:sz w:val="15"/>
          <w:szCs w:val="15"/>
        </w:rPr>
        <w:t>.</w:t>
      </w:r>
      <w:r>
        <w:br w:type="page"/>
      </w:r>
    </w:p>
    <w:p>
      <w:pPr>
        <w:pStyle w:val="Normal"/>
        <w:keepNext w:val="true"/>
        <w:spacing w:before="0" w:after="40"/>
        <w:rPr/>
      </w:pPr>
      <w:r>
        <w:rPr>
          <w:rFonts w:eastAsia="Calibri" w:cs="Calibri"/>
          <w:b/>
          <w:bCs/>
          <w:color w:val="C6A15B"/>
          <w:spacing w:val="30"/>
          <w:sz w:val="16"/>
          <w:szCs w:val="16"/>
        </w:rPr>
        <w:t>APPENDIX C</w:t>
      </w:r>
    </w:p>
    <w:p>
      <w:pPr>
        <w:pStyle w:val="Heading1"/>
        <w:keepNext w:val="true"/>
        <w:pBdr>
          <w:bottom w:val="single" w:sz="12" w:space="6" w:color="C6A15B"/>
        </w:pBdr>
        <w:spacing w:before="320" w:after="140"/>
        <w:rPr/>
      </w:pPr>
      <w:r>
        <w:rPr>
          <w:rFonts w:eastAsia="Calibri" w:cs="Calibri" w:ascii="Calibri" w:hAnsi="Calibri"/>
          <w:b/>
          <w:bCs/>
          <w:color w:val="111827"/>
          <w:sz w:val="30"/>
          <w:szCs w:val="30"/>
        </w:rPr>
        <w:t>WhatsApp voice-note scripts for champions</w:t>
      </w:r>
    </w:p>
    <w:p>
      <w:pPr>
        <w:pStyle w:val="Normal"/>
        <w:spacing w:lineRule="exact" w:line="264" w:before="0" w:after="120"/>
        <w:jc w:val="left"/>
        <w:rPr/>
      </w:pPr>
      <w:r>
        <w:rPr>
          <w:rFonts w:eastAsia="Calibri" w:cs="Calibri"/>
          <w:b w:val="false"/>
          <w:bCs w:val="false"/>
          <w:i w:val="false"/>
          <w:iCs w:val="false"/>
          <w:caps w:val="false"/>
          <w:smallCaps w:val="false"/>
          <w:color w:val="2C3340"/>
          <w:sz w:val="21"/>
          <w:szCs w:val="21"/>
        </w:rPr>
        <w:t>Short, warm, forwardable — for champions to record in their own voice, in Kiswahili or the local language.</w:t>
      </w:r>
    </w:p>
    <w:p>
      <w:pPr>
        <w:pStyle w:val="ListParagraph"/>
        <w:numPr>
          <w:ilvl w:val="0"/>
          <w:numId w:val="15"/>
        </w:numPr>
        <w:spacing w:lineRule="exact" w:line="258" w:before="0" w:after="70"/>
        <w:rPr/>
      </w:pPr>
      <w:r>
        <w:rPr>
          <w:rFonts w:eastAsia="Calibri" w:cs="Calibri"/>
          <w:b w:val="false"/>
          <w:bCs w:val="false"/>
          <w:i w:val="false"/>
          <w:iCs w:val="false"/>
          <w:caps w:val="false"/>
          <w:smallCaps w:val="false"/>
          <w:color w:val="2C3340"/>
          <w:sz w:val="21"/>
          <w:szCs w:val="21"/>
        </w:rPr>
        <w:t>On fertility: “My people, I asked the nurse myself. Family planning does not make our girls barren — their fertility comes back. Let us stop scaring them and start protecting them with the truth.”</w:t>
      </w:r>
    </w:p>
    <w:p>
      <w:pPr>
        <w:pStyle w:val="ListParagraph"/>
        <w:numPr>
          <w:ilvl w:val="0"/>
          <w:numId w:val="7"/>
        </w:numPr>
        <w:spacing w:lineRule="exact" w:line="258" w:before="0" w:after="70"/>
        <w:rPr/>
      </w:pPr>
      <w:r>
        <w:rPr>
          <w:rFonts w:eastAsia="Calibri" w:cs="Calibri"/>
          <w:b w:val="false"/>
          <w:bCs w:val="false"/>
          <w:i w:val="false"/>
          <w:iCs w:val="false"/>
          <w:caps w:val="false"/>
          <w:smallCaps w:val="false"/>
          <w:color w:val="2C3340"/>
          <w:sz w:val="21"/>
          <w:szCs w:val="21"/>
        </w:rPr>
        <w:t>On school first: “A girl who finishes her training and earns her own money is a blessing to the whole family. Let our daughters finish first. The children will come at the right time.”</w:t>
      </w:r>
    </w:p>
    <w:p>
      <w:pPr>
        <w:pStyle w:val="ListParagraph"/>
        <w:numPr>
          <w:ilvl w:val="0"/>
          <w:numId w:val="7"/>
        </w:numPr>
        <w:spacing w:lineRule="exact" w:line="258" w:before="0" w:after="70"/>
        <w:rPr/>
      </w:pPr>
      <w:r>
        <w:rPr>
          <w:rFonts w:eastAsia="Calibri" w:cs="Calibri"/>
          <w:b w:val="false"/>
          <w:bCs w:val="false"/>
          <w:i w:val="false"/>
          <w:iCs w:val="false"/>
          <w:caps w:val="false"/>
          <w:smallCaps w:val="false"/>
          <w:color w:val="2C3340"/>
          <w:sz w:val="21"/>
          <w:szCs w:val="21"/>
        </w:rPr>
        <w:t>On going together: “If your daughter or niece is afraid to go to the clinic, go with her. There is no shame in a woman caring for her health.”</w:t>
      </w:r>
    </w:p>
    <w:p>
      <w:pPr>
        <w:pStyle w:val="ListParagraph"/>
        <w:numPr>
          <w:ilvl w:val="0"/>
          <w:numId w:val="7"/>
        </w:numPr>
        <w:spacing w:lineRule="exact" w:line="258" w:before="0" w:after="70"/>
        <w:rPr/>
      </w:pPr>
      <w:r>
        <w:rPr>
          <w:rFonts w:eastAsia="Calibri" w:cs="Calibri"/>
          <w:b w:val="false"/>
          <w:bCs w:val="false"/>
          <w:i w:val="false"/>
          <w:iCs w:val="false"/>
          <w:caps w:val="false"/>
          <w:smallCaps w:val="false"/>
          <w:color w:val="2C3340"/>
          <w:sz w:val="21"/>
          <w:szCs w:val="21"/>
        </w:rPr>
        <w:t>On a spreading myth: “Before you forward that warning — ask the nurse first. Many things we were told were not true. Let us not pass fear to our girls.”</w:t>
      </w:r>
      <w:r>
        <w:br w:type="page"/>
      </w:r>
    </w:p>
    <w:p>
      <w:pPr>
        <w:pStyle w:val="Normal"/>
        <w:keepNext w:val="true"/>
        <w:spacing w:before="0" w:after="40"/>
        <w:rPr/>
      </w:pPr>
      <w:r>
        <w:rPr>
          <w:rFonts w:eastAsia="Calibri" w:cs="Calibri"/>
          <w:b/>
          <w:bCs/>
          <w:color w:val="C6A15B"/>
          <w:spacing w:val="30"/>
          <w:sz w:val="16"/>
          <w:szCs w:val="16"/>
        </w:rPr>
        <w:t>SOURCES</w:t>
      </w:r>
    </w:p>
    <w:p>
      <w:pPr>
        <w:pStyle w:val="Heading1"/>
        <w:keepNext w:val="true"/>
        <w:pBdr>
          <w:bottom w:val="single" w:sz="12" w:space="6" w:color="C6A15B"/>
        </w:pBdr>
        <w:spacing w:before="320" w:after="140"/>
        <w:rPr/>
      </w:pPr>
      <w:r>
        <w:rPr>
          <w:rFonts w:eastAsia="Calibri" w:cs="Calibri" w:ascii="Calibri" w:hAnsi="Calibri"/>
          <w:b/>
          <w:bCs/>
          <w:color w:val="111827"/>
          <w:sz w:val="30"/>
          <w:szCs w:val="30"/>
        </w:rPr>
        <w:t>Sources &amp; References</w:t>
      </w:r>
    </w:p>
    <w:p>
      <w:pPr>
        <w:pStyle w:val="Normal"/>
        <w:spacing w:lineRule="exact" w:line="264" w:before="0" w:after="120"/>
        <w:jc w:val="left"/>
        <w:rPr/>
      </w:pPr>
      <w:r>
        <w:rPr>
          <w:rFonts w:eastAsia="Calibri" w:cs="Calibri"/>
          <w:b w:val="false"/>
          <w:bCs w:val="false"/>
          <w:i w:val="false"/>
          <w:iCs w:val="false"/>
          <w:caps w:val="false"/>
          <w:smallCaps w:val="false"/>
          <w:color w:val="2C3340"/>
          <w:sz w:val="21"/>
          <w:szCs w:val="21"/>
        </w:rPr>
        <w:t>Sources [1]–[4] are the ImaarishaSRHR Phase 1 evidence base. Public and academic sources follow, in order of first appearance.</w:t>
      </w:r>
    </w:p>
    <w:p>
      <w:pPr>
        <w:pStyle w:val="Normal"/>
        <w:spacing w:lineRule="exact" w:line="252" w:before="0" w:after="70"/>
        <w:ind w:hanging="360" w:left="360"/>
        <w:rPr/>
      </w:pPr>
      <w:r>
        <w:rPr>
          <w:rFonts w:eastAsia="Calibri" w:cs="Calibri"/>
          <w:b/>
          <w:bCs/>
          <w:color w:val="A8863F"/>
          <w:sz w:val="18"/>
          <w:szCs w:val="18"/>
        </w:rPr>
        <w:t xml:space="preserve">[1]  </w:t>
      </w:r>
      <w:r>
        <w:rPr>
          <w:rFonts w:eastAsia="Calibri" w:cs="Calibri"/>
          <w:color w:val="2C3340"/>
          <w:sz w:val="18"/>
          <w:szCs w:val="18"/>
        </w:rPr>
        <w:t>CoMeT / ImaarishaSRHR, “Deconstructing Cultural &amp; Patriarchal Barriers to SRHR Access and Enjoyment in Kenya,” triangulated mixed-methods research report, March 2026.</w:t>
      </w:r>
    </w:p>
    <w:p>
      <w:pPr>
        <w:pStyle w:val="Normal"/>
        <w:spacing w:lineRule="exact" w:line="252" w:before="0" w:after="70"/>
        <w:ind w:hanging="360" w:left="360"/>
        <w:rPr/>
      </w:pPr>
      <w:r>
        <w:rPr>
          <w:rFonts w:eastAsia="Calibri" w:cs="Calibri"/>
          <w:b/>
          <w:bCs/>
          <w:color w:val="A8863F"/>
          <w:sz w:val="18"/>
          <w:szCs w:val="18"/>
        </w:rPr>
        <w:t xml:space="preserve">[2]  </w:t>
      </w:r>
      <w:r>
        <w:rPr>
          <w:rFonts w:eastAsia="Calibri" w:cs="Calibri"/>
          <w:color w:val="2C3340"/>
          <w:sz w:val="18"/>
          <w:szCs w:val="18"/>
        </w:rPr>
        <w:t>TIFA Research, “How Patriarchy, Culture &amp; Disinformation Influence SRHR Access — Opinion Poll” (n=2,013, all 47 counties, ±2.18%), May 2026.</w:t>
      </w:r>
    </w:p>
    <w:p>
      <w:pPr>
        <w:pStyle w:val="Normal"/>
        <w:spacing w:lineRule="exact" w:line="252" w:before="0" w:after="70"/>
        <w:ind w:hanging="360" w:left="360"/>
        <w:rPr/>
      </w:pPr>
      <w:r>
        <w:rPr>
          <w:rFonts w:eastAsia="Calibri" w:cs="Calibri"/>
          <w:b/>
          <w:bCs/>
          <w:color w:val="A8863F"/>
          <w:sz w:val="18"/>
          <w:szCs w:val="18"/>
        </w:rPr>
        <w:t xml:space="preserve">[3]  </w:t>
      </w:r>
      <w:r>
        <w:rPr>
          <w:rFonts w:eastAsia="Calibri" w:cs="Calibri"/>
          <w:color w:val="2C3340"/>
          <w:sz w:val="18"/>
          <w:szCs w:val="18"/>
        </w:rPr>
        <w:t>ImaarishaSRHR Social Listening dataset — 419,720 posts (Jul 2025–Feb 2026).</w:t>
      </w:r>
    </w:p>
    <w:p>
      <w:pPr>
        <w:pStyle w:val="Normal"/>
        <w:spacing w:lineRule="exact" w:line="252" w:before="0" w:after="70"/>
        <w:ind w:hanging="360" w:left="360"/>
        <w:rPr/>
      </w:pPr>
      <w:r>
        <w:rPr>
          <w:rFonts w:eastAsia="Calibri" w:cs="Calibri"/>
          <w:b/>
          <w:bCs/>
          <w:color w:val="A8863F"/>
          <w:sz w:val="18"/>
          <w:szCs w:val="18"/>
        </w:rPr>
        <w:t xml:space="preserve">[4]  </w:t>
      </w:r>
      <w:r>
        <w:rPr>
          <w:rFonts w:eastAsia="Calibri" w:cs="Calibri"/>
          <w:color w:val="2C3340"/>
          <w:sz w:val="18"/>
          <w:szCs w:val="18"/>
        </w:rPr>
        <w:t>ImaarishaSRHR WhatsApp Focus Group Discussions — women 18–35, 4 sites, 2025–2026.</w:t>
      </w:r>
    </w:p>
    <w:p>
      <w:pPr>
        <w:pStyle w:val="Normal"/>
        <w:spacing w:lineRule="exact" w:line="252" w:before="0" w:after="70"/>
        <w:ind w:hanging="360" w:left="360"/>
        <w:rPr/>
      </w:pPr>
      <w:r>
        <w:rPr>
          <w:rFonts w:eastAsia="Calibri" w:cs="Calibri"/>
          <w:b/>
          <w:bCs/>
          <w:color w:val="A8863F"/>
          <w:sz w:val="18"/>
          <w:szCs w:val="18"/>
        </w:rPr>
        <w:t xml:space="preserve">[5]  </w:t>
      </w:r>
      <w:r>
        <w:rPr>
          <w:rFonts w:eastAsia="Calibri" w:cs="Calibri"/>
          <w:color w:val="2C3340"/>
          <w:sz w:val="18"/>
          <w:szCs w:val="18"/>
        </w:rPr>
        <w:t>Aubel J., “Grandmothers — a neglected family resource for saving newborn lives,” BMJ Global Health 6:e003808, 2021.</w:t>
      </w:r>
      <w:r>
        <w:rPr>
          <w:rFonts w:eastAsia="Calibri" w:cs="Calibri"/>
          <w:i/>
          <w:iCs/>
          <w:color w:val="8892B0"/>
          <w:sz w:val="15"/>
          <w:szCs w:val="15"/>
        </w:rPr>
        <w:t xml:space="preserve">  https://pmc.ncbi.nlm.nih.gov/articles/PMC7887373/</w:t>
      </w:r>
    </w:p>
    <w:p>
      <w:pPr>
        <w:pStyle w:val="Normal"/>
        <w:spacing w:lineRule="exact" w:line="252" w:before="0" w:after="70"/>
        <w:ind w:hanging="360" w:left="360"/>
        <w:rPr/>
      </w:pPr>
      <w:r>
        <w:rPr>
          <w:rFonts w:eastAsia="Calibri" w:cs="Calibri"/>
          <w:b/>
          <w:bCs/>
          <w:color w:val="A8863F"/>
          <w:sz w:val="18"/>
          <w:szCs w:val="18"/>
        </w:rPr>
        <w:t xml:space="preserve">[6]  </w:t>
      </w:r>
      <w:r>
        <w:rPr>
          <w:rFonts w:eastAsia="Calibri" w:cs="Calibri"/>
          <w:color w:val="2C3340"/>
          <w:sz w:val="18"/>
          <w:szCs w:val="18"/>
        </w:rPr>
        <w:t>Aubel J., “Grandmothers — a cultural resource for women and children’s health and well-being across the life cycle,” Global Health Promotion, 2024.</w:t>
      </w:r>
      <w:r>
        <w:rPr>
          <w:rFonts w:eastAsia="Calibri" w:cs="Calibri"/>
          <w:i/>
          <w:iCs/>
          <w:color w:val="8892B0"/>
          <w:sz w:val="15"/>
          <w:szCs w:val="15"/>
        </w:rPr>
        <w:t xml:space="preserve">  https://journals.sagepub.com/doi/10.1177/17579759231191494</w:t>
      </w:r>
    </w:p>
    <w:p>
      <w:pPr>
        <w:pStyle w:val="Normal"/>
        <w:spacing w:lineRule="exact" w:line="252" w:before="0" w:after="70"/>
        <w:ind w:hanging="360" w:left="360"/>
        <w:rPr/>
      </w:pPr>
      <w:r>
        <w:rPr>
          <w:rFonts w:eastAsia="Calibri" w:cs="Calibri"/>
          <w:b/>
          <w:bCs/>
          <w:color w:val="A8863F"/>
          <w:sz w:val="18"/>
          <w:szCs w:val="18"/>
        </w:rPr>
        <w:t xml:space="preserve">[7]  </w:t>
      </w:r>
      <w:r>
        <w:rPr>
          <w:rFonts w:eastAsia="Calibri" w:cs="Calibri"/>
          <w:color w:val="2C3340"/>
          <w:sz w:val="18"/>
          <w:szCs w:val="18"/>
        </w:rPr>
        <w:t>Bicchieri C., “Norms in the Wild: How to Diagnose, Measure, and Change Social Norms,” Oxford University Press, 2017.</w:t>
      </w:r>
    </w:p>
    <w:p>
      <w:pPr>
        <w:pStyle w:val="Normal"/>
        <w:spacing w:lineRule="exact" w:line="252" w:before="0" w:after="70"/>
        <w:ind w:hanging="360" w:left="360"/>
        <w:rPr/>
      </w:pPr>
      <w:r>
        <w:rPr>
          <w:rFonts w:eastAsia="Calibri" w:cs="Calibri"/>
          <w:b/>
          <w:bCs/>
          <w:color w:val="A8863F"/>
          <w:sz w:val="18"/>
          <w:szCs w:val="18"/>
        </w:rPr>
        <w:t xml:space="preserve">[8]  </w:t>
      </w:r>
      <w:r>
        <w:rPr>
          <w:rFonts w:eastAsia="Calibri" w:cs="Calibri"/>
          <w:color w:val="2C3340"/>
          <w:sz w:val="18"/>
          <w:szCs w:val="18"/>
        </w:rPr>
        <w:t>Institute for Reproductive Health, Georgetown University / Learning Collaborative to Advance Normative Change, “Social Norms Lexicon,” 2021.</w:t>
      </w:r>
      <w:r>
        <w:rPr>
          <w:rFonts w:eastAsia="Calibri" w:cs="Calibri"/>
          <w:i/>
          <w:iCs/>
          <w:color w:val="8892B0"/>
          <w:sz w:val="15"/>
          <w:szCs w:val="15"/>
        </w:rPr>
        <w:t xml:space="preserve">  https://www.irh.org/wp-content/uploads/2021/05/Social-Norms-Atlas.pdf</w:t>
      </w:r>
    </w:p>
    <w:p>
      <w:pPr>
        <w:pStyle w:val="Normal"/>
        <w:spacing w:lineRule="exact" w:line="252" w:before="0" w:after="70"/>
        <w:ind w:hanging="360" w:left="360"/>
        <w:rPr/>
      </w:pPr>
      <w:r>
        <w:rPr>
          <w:rFonts w:eastAsia="Calibri" w:cs="Calibri"/>
          <w:b/>
          <w:bCs/>
          <w:color w:val="A8863F"/>
          <w:sz w:val="18"/>
          <w:szCs w:val="18"/>
        </w:rPr>
        <w:t xml:space="preserve">[9]  </w:t>
      </w:r>
      <w:r>
        <w:rPr>
          <w:rFonts w:eastAsia="Calibri" w:cs="Calibri"/>
          <w:color w:val="2C3340"/>
          <w:sz w:val="18"/>
          <w:szCs w:val="18"/>
        </w:rPr>
        <w:t>Bhan N. et al., “Mother-in-law’s Influence on FP Decision-Making and Contraceptive Use: A Review of Evidence,” Center on Gender Equity &amp; Health (UCSD) &amp; ICRW, 2022.</w:t>
      </w:r>
      <w:r>
        <w:rPr>
          <w:rFonts w:eastAsia="Calibri" w:cs="Calibri"/>
          <w:i/>
          <w:iCs/>
          <w:color w:val="8892B0"/>
          <w:sz w:val="15"/>
          <w:szCs w:val="15"/>
        </w:rPr>
        <w:t xml:space="preserve">  https://emerge.ucsd.edu/wp-content/uploads/2022/08/mil-brief_geh_geh_icrw.pdf</w:t>
      </w:r>
    </w:p>
    <w:p>
      <w:pPr>
        <w:pStyle w:val="Normal"/>
        <w:spacing w:lineRule="exact" w:line="252" w:before="0" w:after="70"/>
        <w:ind w:hanging="360" w:left="360"/>
        <w:rPr/>
      </w:pPr>
      <w:r>
        <w:rPr>
          <w:rFonts w:eastAsia="Calibri" w:cs="Calibri"/>
          <w:b/>
          <w:bCs/>
          <w:color w:val="A8863F"/>
          <w:sz w:val="18"/>
          <w:szCs w:val="18"/>
        </w:rPr>
        <w:t xml:space="preserve">[10]  </w:t>
      </w:r>
      <w:r>
        <w:rPr>
          <w:rFonts w:eastAsia="Calibri" w:cs="Calibri"/>
          <w:color w:val="2C3340"/>
          <w:sz w:val="18"/>
          <w:szCs w:val="18"/>
        </w:rPr>
        <w:t>Lewandowsky S., Cook J. et al., “The Debunking Handbook 2020.”</w:t>
      </w:r>
      <w:r>
        <w:rPr>
          <w:rFonts w:eastAsia="Calibri" w:cs="Calibri"/>
          <w:i/>
          <w:iCs/>
          <w:color w:val="8892B0"/>
          <w:sz w:val="15"/>
          <w:szCs w:val="15"/>
        </w:rPr>
        <w:t xml:space="preserve">  https://digitalcommons.unl.edu/context/scholcom/article/1247/viewcontent/DebunkingHandbook2020.pdf</w:t>
      </w:r>
    </w:p>
    <w:p>
      <w:pPr>
        <w:pStyle w:val="Normal"/>
        <w:spacing w:lineRule="exact" w:line="252" w:before="0" w:after="70"/>
        <w:ind w:hanging="360" w:left="360"/>
        <w:rPr/>
      </w:pPr>
      <w:r>
        <w:rPr>
          <w:rFonts w:eastAsia="Calibri" w:cs="Calibri"/>
          <w:b/>
          <w:bCs/>
          <w:color w:val="A8863F"/>
          <w:sz w:val="18"/>
          <w:szCs w:val="18"/>
        </w:rPr>
        <w:t xml:space="preserve">[11]  </w:t>
      </w:r>
      <w:r>
        <w:rPr>
          <w:rFonts w:eastAsia="Calibri" w:cs="Calibri"/>
          <w:color w:val="2C3340"/>
          <w:sz w:val="18"/>
          <w:szCs w:val="18"/>
        </w:rPr>
        <w:t>The Challenge Initiative, “Intergenerational Dialogue” demand-generation curriculum.</w:t>
      </w:r>
      <w:r>
        <w:rPr>
          <w:rFonts w:eastAsia="Calibri" w:cs="Calibri"/>
          <w:i/>
          <w:iCs/>
          <w:color w:val="8892B0"/>
          <w:sz w:val="15"/>
          <w:szCs w:val="15"/>
        </w:rPr>
        <w:t xml:space="preserve">  https://tciurbanhealth.org/courses/nigeria-demand-generation/lessons/intergenerational-dialogue/</w:t>
      </w:r>
    </w:p>
    <w:p>
      <w:pPr>
        <w:pStyle w:val="Normal"/>
        <w:spacing w:lineRule="exact" w:line="252" w:before="0" w:after="70"/>
        <w:ind w:hanging="360" w:left="360"/>
        <w:rPr/>
      </w:pPr>
      <w:r>
        <w:rPr>
          <w:rFonts w:eastAsia="Calibri" w:cs="Calibri"/>
          <w:b/>
          <w:bCs/>
          <w:color w:val="A8863F"/>
          <w:sz w:val="18"/>
          <w:szCs w:val="18"/>
        </w:rPr>
        <w:t xml:space="preserve">[12]  </w:t>
      </w:r>
      <w:r>
        <w:rPr>
          <w:rFonts w:eastAsia="Calibri" w:cs="Calibri"/>
          <w:color w:val="2C3340"/>
          <w:sz w:val="18"/>
          <w:szCs w:val="18"/>
        </w:rPr>
        <w:t>Dichter M.E. et al., “Survivor storytelling for social change,” Journal of Interpersonal Violence, 2022.</w:t>
      </w:r>
      <w:r>
        <w:rPr>
          <w:rFonts w:eastAsia="Calibri" w:cs="Calibri"/>
          <w:i/>
          <w:iCs/>
          <w:color w:val="8892B0"/>
          <w:sz w:val="15"/>
          <w:szCs w:val="15"/>
        </w:rPr>
        <w:t xml:space="preserve">  https://doi.org/10.1177/10778012211024267</w:t>
      </w:r>
    </w:p>
    <w:p>
      <w:pPr>
        <w:pStyle w:val="Normal"/>
        <w:spacing w:before="160" w:after="0"/>
        <w:jc w:val="center"/>
        <w:rPr/>
      </w:pPr>
      <w:r>
        <w:rPr>
          <w:rFonts w:eastAsia="Calibri" w:cs="Calibri"/>
          <w:i/>
          <w:iCs/>
          <w:color w:val="222B42"/>
          <w:sz w:val="19"/>
          <w:szCs w:val="19"/>
        </w:rPr>
        <w:t>When Beth changes, she does not change one girl. She changes every girl who ever helps her cook.</w:t>
      </w:r>
    </w:p>
    <w:p>
      <w:pPr>
        <w:pStyle w:val="Normal"/>
        <w:spacing w:before="50" w:after="0"/>
        <w:jc w:val="center"/>
        <w:rPr/>
      </w:pPr>
      <w:r>
        <w:rPr>
          <w:rFonts w:eastAsia="Calibri" w:cs="Calibri"/>
          <w:color w:val="8892B0"/>
          <w:sz w:val="15"/>
          <w:szCs w:val="15"/>
        </w:rPr>
        <w:t>Community Media Trust (CoMeT)  ·  imaarishasrhr.org  ·  cmt.kenya@gmail.com</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80" w:right="1180" w:gutter="0" w:header="708" w:top="1180" w:footer="708" w:bottom="108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D9DDE5"/>
      </w:pBdr>
      <w:tabs>
        <w:tab w:val="clear" w:pos="720"/>
        <w:tab w:val="right" w:pos="9360" w:leader="none"/>
      </w:tabs>
      <w:spacing w:before="0" w:after="0"/>
      <w:rPr/>
    </w:pPr>
    <w:r>
      <w:rPr>
        <w:rFonts w:eastAsia="Calibri" w:cs="Calibri"/>
        <w:color w:val="8892B0"/>
        <w:sz w:val="14"/>
        <w:szCs w:val="14"/>
      </w:rPr>
      <w:t>Community Media Trust (CoMeT)  ·  Phase 2 Media Development</w:t>
      <w:tab/>
      <w:tab/>
      <w:t xml:space="preserve">Page </w:t>
    </w:r>
    <w:r>
      <w:rPr/>
      <w:fldChar w:fldCharType="begin"/>
    </w:r>
    <w:r>
      <w:rPr/>
      <w:instrText xml:space="preserve"> PAGE </w:instrText>
    </w:r>
    <w:r>
      <w:rPr/>
      <w:fldChar w:fldCharType="separate"/>
    </w:r>
    <w:r>
      <w:rPr/>
      <w:t>18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D9DDE5"/>
      </w:pBdr>
      <w:tabs>
        <w:tab w:val="clear" w:pos="720"/>
        <w:tab w:val="right" w:pos="9360" w:leader="none"/>
      </w:tabs>
      <w:spacing w:before="0" w:after="0"/>
      <w:rPr/>
    </w:pPr>
    <w:r>
      <w:rPr>
        <w:rFonts w:eastAsia="Calibri" w:cs="Calibri"/>
        <w:color w:val="8892B0"/>
        <w:sz w:val="14"/>
        <w:szCs w:val="14"/>
      </w:rPr>
      <w:t>Community Media Trust (CoMeT)  ·  Phase 2 Media Development</w:t>
      <w:tab/>
      <w:tab/>
      <w:t xml:space="preserve">Page </w:t>
    </w:r>
    <w:r>
      <w:rPr/>
      <w:fldChar w:fldCharType="begin"/>
    </w:r>
    <w:r>
      <w:rPr/>
      <w:instrText xml:space="preserve"> PAGE </w:instrText>
    </w:r>
    <w:r>
      <w:rPr/>
      <w:fldChar w:fldCharType="separate"/>
    </w:r>
    <w:r>
      <w:rPr/>
      <w:t>18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D9DDE5"/>
      </w:pBdr>
      <w:spacing w:before="0" w:after="0"/>
      <w:rPr/>
    </w:pPr>
    <w:r>
      <w:rPr>
        <w:rFonts w:eastAsia="Calibri" w:cs="Calibri"/>
        <w:b/>
        <w:bCs/>
        <w:color w:val="111827"/>
        <w:sz w:val="15"/>
        <w:szCs w:val="15"/>
      </w:rPr>
      <w:t>Imaarisha</w:t>
    </w:r>
    <w:r>
      <w:rPr>
        <w:rFonts w:eastAsia="Calibri" w:cs="Calibri"/>
        <w:b/>
        <w:bCs/>
        <w:color w:val="C6A15B"/>
        <w:sz w:val="15"/>
        <w:szCs w:val="15"/>
      </w:rPr>
      <w:t>SRHR</w:t>
    </w:r>
    <w:r>
      <w:rPr>
        <w:rFonts w:eastAsia="Calibri" w:cs="Calibri"/>
        <w:color w:val="8892B0"/>
        <w:sz w:val="15"/>
        <w:szCs w:val="15"/>
      </w:rPr>
      <w:t xml:space="preserve">   ·   The Mother &amp; Aunty Curriculum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D9DDE5"/>
      </w:pBdr>
      <w:spacing w:before="0" w:after="0"/>
      <w:rPr/>
    </w:pPr>
    <w:r>
      <w:rPr>
        <w:rFonts w:eastAsia="Calibri" w:cs="Calibri"/>
        <w:b/>
        <w:bCs/>
        <w:color w:val="111827"/>
        <w:sz w:val="15"/>
        <w:szCs w:val="15"/>
      </w:rPr>
      <w:t>Imaarisha</w:t>
    </w:r>
    <w:r>
      <w:rPr>
        <w:rFonts w:eastAsia="Calibri" w:cs="Calibri"/>
        <w:b/>
        <w:bCs/>
        <w:color w:val="C6A15B"/>
        <w:sz w:val="15"/>
        <w:szCs w:val="15"/>
      </w:rPr>
      <w:t>SRHR</w:t>
    </w:r>
    <w:r>
      <w:rPr>
        <w:rFonts w:eastAsia="Calibri" w:cs="Calibri"/>
        <w:color w:val="8892B0"/>
        <w:sz w:val="15"/>
        <w:szCs w:val="15"/>
      </w:rPr>
      <w:t xml:space="preserve">   ·   The Mother &amp; Aunty Curriculum</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00"/>
      </w:pPr>
      <w:rPr>
        <w:rFonts w:ascii="Symbol" w:hAnsi="Symbol" w:cs="Symbol" w:hint="default"/>
        <w:color w:val="C6A15B"/>
      </w:rPr>
    </w:lvl>
    <w:lvl w:ilvl="1">
      <w:start w:val="1"/>
      <w:numFmt w:val="bullet"/>
      <w:lvlText w:val=""/>
      <w:lvlJc w:val="left"/>
      <w:pPr>
        <w:tabs>
          <w:tab w:val="num" w:pos="0"/>
        </w:tabs>
        <w:ind w:left="720" w:hanging="200"/>
      </w:pPr>
      <w:rPr>
        <w:rFonts w:ascii="Symbol" w:hAnsi="Symbol" w:cs="Symbol" w:hint="default"/>
        <w:color w:val="C6A15B"/>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380" w:hanging="240"/>
      </w:pPr>
      <w:rPr>
        <w:b/>
        <w:bCs/>
        <w:color w:val="A8863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380" w:hanging="240"/>
      </w:pPr>
      <w:rPr>
        <w:b/>
        <w:bCs/>
        <w:color w:val="A8863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380" w:hanging="240"/>
      </w:pPr>
      <w:rPr>
        <w:b/>
        <w:bCs/>
        <w:color w:val="A8863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380" w:hanging="240"/>
      </w:pPr>
      <w:rPr>
        <w:b/>
        <w:bCs/>
        <w:color w:val="A8863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380" w:hanging="240"/>
      </w:pPr>
      <w:rPr>
        <w:b/>
        <w:bCs/>
        <w:color w:val="A8863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380" w:hanging="240"/>
      </w:pPr>
      <w:rPr>
        <w:b/>
        <w:bCs/>
        <w:color w:val="A8863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
    <w:lvlOverride w:ilvl="0">
      <w:startOverride w:val="1"/>
    </w:lvlOverride>
  </w:num>
  <w:num w:numId="10">
    <w:abstractNumId w:val="2"/>
    <w:lvlOverride w:ilvl="0">
      <w:startOverride w:val="1"/>
    </w:lvlOverride>
  </w:num>
  <w:num w:numId="11">
    <w:abstractNumId w:val="3"/>
    <w:lvlOverride w:ilvl="0">
      <w:startOverride w:val="1"/>
    </w:lvlOverride>
  </w:num>
  <w:num w:numId="12">
    <w:abstractNumId w:val="4"/>
    <w:lvlOverride w:ilvl="0">
      <w:startOverride w:val="1"/>
    </w:lvlOverride>
  </w:num>
  <w:num w:numId="13">
    <w:abstractNumId w:val="5"/>
    <w:lvlOverride w:ilvl="0">
      <w:startOverride w:val="1"/>
    </w:lvlOverride>
  </w:num>
  <w:num w:numId="14">
    <w:abstractNumId w:val="6"/>
    <w:lvlOverride w:ilvl="0">
      <w:startOverride w:val="1"/>
    </w:lvlOverride>
  </w:num>
  <w:num w:numId="15">
    <w:abstractNumId w:val="7"/>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C3340"/>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2C3340"/>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2C3340"/>
      <w:kern w:val="0"/>
      <w:sz w:val="21"/>
      <w:szCs w:val="21"/>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2C3340"/>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2026-09-11T18:06:44Z</dcterms:created>
  <dc:creator>Un-named</dc:creator>
  <dc:description/>
  <dc:language>en-US</dc:language>
  <cp:lastModifiedBy>Un-named</cp:lastModifiedBy>
  <dcterms:modified xsi:type="dcterms:W3CDTF">2026-09-11T18:06:44Z</dcterms:modified>
  <cp:revision>1</cp:revision>
  <dc:subject/>
  <dc:title/>
</cp:coreProperties>
</file>