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520" w:type="dxa"/>
          <w:left w:w="360" w:type="dxa"/>
          <w:bottom w:w="520" w:type="dxa"/>
          <w:right w:w="3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fill="111827" w:val="clear"/>
          </w:tcPr>
          <w:p>
            <w:pPr>
              <w:pStyle w:val="Normal"/>
              <w:spacing w:before="0" w:after="200"/>
              <w:rPr/>
            </w:pPr>
            <w:r>
              <w:rPr>
                <w:rFonts w:eastAsia="Calibri" w:cs="Calibri"/>
                <w:b/>
                <w:bCs/>
                <w:color w:val="FFFFFF"/>
                <w:sz w:val="30"/>
                <w:szCs w:val="30"/>
              </w:rPr>
              <w:t>Imaarisha</w:t>
            </w:r>
            <w:r>
              <w:rPr>
                <w:rFonts w:eastAsia="Calibri" w:cs="Calibri"/>
                <w:b/>
                <w:bCs/>
                <w:color w:val="C6A15B"/>
                <w:sz w:val="30"/>
                <w:szCs w:val="30"/>
              </w:rPr>
              <w:t>SRHR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A15B"/>
                <w:spacing w:val="40"/>
                <w:sz w:val="18"/>
                <w:szCs w:val="18"/>
              </w:rPr>
              <w:t>PHASE 2 · MEDIA DEVELOPMENT · PROGRAMME SUMMARY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Reframing SRHR</w:t>
            </w:r>
          </w:p>
          <w:p>
            <w:pPr>
              <w:pStyle w:val="Normal"/>
              <w:spacing w:before="0" w:after="16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in Kenya</w:t>
            </w:r>
          </w:p>
          <w:p>
            <w:pPr>
              <w:pStyle w:val="Normal"/>
              <w:spacing w:before="0" w:after="220"/>
              <w:rPr/>
            </w:pPr>
            <w:r>
              <w:rPr>
                <w:rFonts w:eastAsia="Calibri" w:cs="Calibri"/>
                <w:color w:val="C9D1E0"/>
                <w:sz w:val="24"/>
                <w:szCs w:val="24"/>
              </w:rPr>
              <w:t>A summary of the ImaarishaSRHR Phase 2 media package: what the evidence found, the strategy it points to, what we are building, and the change we expect — for partners and funders.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Community Media Trust (CoMeT)  ·  July 2026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Built on the ImaarishaSRHR Phase 1 evidence base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imaarishasrhr.org  ·  #ImaarishaSRHR · #AmplifyChange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i/>
          <w:iCs/>
          <w:color w:val="8892B0"/>
          <w:sz w:val="18"/>
          <w:szCs w:val="18"/>
        </w:rPr>
        <w:t>A two-page read for busy partners; the full evidence sits behind every claim.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THE OPPORTUNITY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Kenya’s SRHR gap is about meaning, not just services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For thirty years, Kenya’s SRHR sector has expanded services and produced accurate information — yet 355 women still die for every 100,000 live births, about a third of those deaths from unsafe abortion, and roughly half of women who use contraception do so in secret. ImaarishaSRHR Phase 1 — a nationally representative poll, eight months of social-listening data and focus groups across four counties — asked why, and found the binding barriers are not mainly clinics, distance or knowledge. They are meaning, trust, power and fear.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tbl>
      <w:tblPr>
        <w:tblW w:w="9360" w:type="dxa"/>
        <w:jc w:val="left"/>
        <w:tblInd w:w="0" w:type="dxa"/>
        <w:tblLayout w:type="fixed"/>
        <w:tblCellMar>
          <w:top w:w="130" w:type="dxa"/>
          <w:left w:w="120" w:type="dxa"/>
          <w:bottom w:w="13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1A2035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C6A15B"/>
                <w:sz w:val="40"/>
                <w:szCs w:val="40"/>
              </w:rPr>
              <w:t>8%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C9D1E0"/>
                <w:sz w:val="16"/>
                <w:szCs w:val="16"/>
              </w:rPr>
              <w:t>of Kenyans associate SRHR with rights; only 2% with wellbeing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1A2035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C6A15B"/>
                <w:sz w:val="40"/>
                <w:szCs w:val="40"/>
              </w:rPr>
              <w:t>76%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C9D1E0"/>
                <w:sz w:val="16"/>
                <w:szCs w:val="16"/>
              </w:rPr>
              <w:t>name fear of community judgment as the top barrier — above cost or distance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1A2035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C6A15B"/>
                <w:sz w:val="40"/>
                <w:szCs w:val="40"/>
              </w:rPr>
              <w:t>3.6%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C9D1E0"/>
                <w:sz w:val="16"/>
                <w:szCs w:val="16"/>
              </w:rPr>
              <w:t>of online SRHR content is positive or affirming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exact" w:line="250" w:before="0" w:after="130"/>
        <w:rPr/>
      </w:pPr>
      <w:r>
        <w:rPr>
          <w:rFonts w:eastAsia="Calibri" w:cs="Calibri"/>
          <w:i/>
          <w:iCs/>
          <w:color w:val="8892B0"/>
          <w:sz w:val="15"/>
          <w:szCs w:val="15"/>
        </w:rPr>
        <w:t>ImaarishaSRHR Phase 1 research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  <w:r>
        <w:rPr>
          <w:rFonts w:eastAsia="Calibri" w:cs="Calibri"/>
          <w:i/>
          <w:iCs/>
          <w:color w:val="8892B0"/>
          <w:sz w:val="15"/>
          <w:szCs w:val="15"/>
        </w:rPr>
        <w:t>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 implication is an opportunity: the sector has been speaking a language — rights — that most of its audience has not adopted, through channels the opposition dominates. A communications approach matched to how Kenyans actually form beliefs is a high-leverage, relatively low-cost way to move outcomes that service expansion alone has not.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The strategy the evidence points to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Three shifts define the whole package — each is a direct reading of the Phase 1 data.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Reframe, don’t just inform.  </w:t>
      </w:r>
      <w:r>
        <w:rPr>
          <w:rFonts w:eastAsia="Calibri" w:cs="Calibri"/>
          <w:color w:val="2C3340"/>
          <w:sz w:val="21"/>
          <w:szCs w:val="21"/>
        </w:rPr>
        <w:t>Lead with the values Kenyans already hold — health, family wellbeing, provision — and arrive at rights from there. Health is the entry point; rights is the destination.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Carry it through trusted messengers.  </w:t>
      </w:r>
      <w:r>
        <w:rPr>
          <w:rFonts w:eastAsia="Calibri" w:cs="Calibri"/>
          <w:color w:val="2C3340"/>
          <w:sz w:val="21"/>
          <w:szCs w:val="21"/>
        </w:rPr>
        <w:t>Healthcare workers (71% trust), champion older women, peers and faith allies — not institutional volume. Trust, not reach, changes minds.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Treat the barrier as one system.  </w:t>
      </w:r>
      <w:r>
        <w:rPr>
          <w:rFonts w:eastAsia="Calibri" w:cs="Calibri"/>
          <w:color w:val="2C3340"/>
          <w:sz w:val="21"/>
          <w:szCs w:val="21"/>
        </w:rPr>
        <w:t>Patriarchy, culture and disinformation reinforce each other; interventions are designed to touch more than one at once, and to meet the intergenerational “Mother &amp; Aunty” channel that conventional campaigns miss.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WHAT WE ARE BUILDING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The Phase 2 media package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Five integrated, evidence-based products that share one cast, one visual world and one evidence base — so audiences meet the same trusted faces across print, video and audio.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500"/>
        <w:gridCol w:w="4759"/>
        <w:gridCol w:w="210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Product</w:t>
            </w:r>
          </w:p>
        </w:tc>
        <w:tc>
          <w:tcPr>
            <w:tcW w:w="4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What it is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Primary audience</w:t>
            </w:r>
          </w:p>
        </w:tc>
      </w:tr>
      <w:tr>
        <w:trPr/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 · Strategic Comms &amp; Reframing field guide</w:t>
            </w:r>
          </w:p>
        </w:tc>
        <w:tc>
          <w:tcPr>
            <w:tcW w:w="4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 45-page evidence toolkit that trains organisations to reframe SRHR, counter disinformation and work the trusted-messenger architecture — seven modules, cited throughout.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SRHR organisations &amp; their staff</w:t>
            </w:r>
          </w:p>
        </w:tc>
      </w:tr>
      <w:tr>
        <w:trPr/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2 · Mother &amp; Aunty curriculum</w:t>
            </w:r>
          </w:p>
        </w:tc>
        <w:tc>
          <w:tcPr>
            <w:tcW w:w="4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 facilitator curriculum turning older women from gatekeepers into champions — the highest-leverage, least-used intervention point in the evidence.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Community mobilisers, CHPs, older women</w:t>
            </w:r>
          </w:p>
        </w:tc>
      </w:tr>
      <w:tr>
        <w:trPr/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3 · Five short videos</w:t>
            </w:r>
          </w:p>
        </w:tc>
        <w:tc>
          <w:tcPr>
            <w:tcW w:w="4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Values-framed, doctor-voiced explainers, 9:16 and captioned, in English, Kiswahili and Sheng — engineered for the muted, vertical feed.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Public 18–35; youth 18–24</w:t>
            </w:r>
          </w:p>
        </w:tc>
      </w:tr>
      <w:tr>
        <w:trPr/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4 · The podcast (5-part + always-on)</w:t>
            </w:r>
          </w:p>
        </w:tc>
        <w:tc>
          <w:tcPr>
            <w:tcW w:w="4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 trusted-clinician-led conversation that gives the most-trusted-but-silent voices a standing microphone; clips travel to WhatsApp and radio.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Deliberate listeners; clip audiences</w:t>
            </w:r>
          </w:p>
        </w:tc>
      </w:tr>
      <w:tr>
        <w:trPr/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5 · Illustrator brief pack</w:t>
            </w:r>
          </w:p>
        </w:tc>
        <w:tc>
          <w:tcPr>
            <w:tcW w:w="4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visual system and character bible that keeps the whole package one recognisable world.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Production partners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 products interlock. The toolkit sets the strategy; the curriculum works the hardest channel; the videos open doors in 90 seconds; the podcast deepens trust and feeds shareable clips; the illustrator pack makes it all one world. A single recurring family — the Achiengs — carries the message across every format, so recognition compounds.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How change happens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Inputs</w:t>
            </w:r>
          </w:p>
        </w:tc>
        <w:tc>
          <w:tcPr>
            <w:tcW w:w="312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Reach</w:t>
            </w:r>
          </w:p>
        </w:tc>
        <w:tc>
          <w:tcPr>
            <w:tcW w:w="312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Intended outcomes</w:t>
            </w:r>
          </w:p>
        </w:tc>
      </w:tr>
      <w:tr>
        <w:trPr/>
        <w:tc>
          <w:tcPr>
            <w:tcW w:w="312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Reframed, trusted-messenger content across print, video and audio; a champion-aunty network; a rapid-response capacity against disinformation.</w:t>
            </w:r>
          </w:p>
        </w:tc>
        <w:tc>
          <w:tcPr>
            <w:tcW w:w="312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Youth via TikTok/Sheng; women via WhatsApp &amp; radio; older women via family groups &amp; community radio; men via shared-decision framing — layered, not digital-only.</w:t>
            </w:r>
          </w:p>
        </w:tc>
        <w:tc>
          <w:tcPr>
            <w:tcW w:w="312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More affirming SRHR content in circulation; older women adopting new scripts; men engaging as partners; young people able to find safe, accurate information — and act on it with less fear.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Underpinning assumption, stated honestly: barrier reduction is achievable through trusted-messenger content at sufficient reach, sustained over a 12-month-plus horizon, across the right channels. We measure realistic intermediate outcomes — content shifts, script adoption, service-seeking — not only headline endpoints.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WHY FUND THIS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Why this is a sound investment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Evidence-led, not assumption-led.  </w:t>
      </w:r>
      <w:r>
        <w:rPr>
          <w:rFonts w:eastAsia="Calibri" w:cs="Calibri"/>
          <w:color w:val="2C3340"/>
          <w:sz w:val="21"/>
          <w:szCs w:val="21"/>
        </w:rPr>
        <w:t>Every product is built on a triangulated Phase 1 evidence base and the wider global literature; every claim in the package is sourced.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Honest about what works.  </w:t>
      </w:r>
      <w:r>
        <w:rPr>
          <w:rFonts w:eastAsia="Calibri" w:cs="Calibri"/>
          <w:color w:val="2C3340"/>
          <w:sz w:val="21"/>
          <w:szCs w:val="21"/>
        </w:rPr>
        <w:t>The package cites where well-funded efforts fell short (e.g. DREAMS) and designs for realistic outcomes over realistic horizons — the mark of a partner worth trusting with funds.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Builds on proven Kenyan models.  </w:t>
      </w:r>
      <w:r>
        <w:rPr>
          <w:rFonts w:eastAsia="Calibri" w:cs="Calibri"/>
          <w:color w:val="2C3340"/>
          <w:sz w:val="21"/>
          <w:szCs w:val="21"/>
        </w:rPr>
        <w:t>It amplifies what already works locally — the national CHP network, faith-based family planning, survivor testimony, Sheng youth media — rather than importing generic formats.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High leverage, reusable, durable.  </w:t>
      </w:r>
      <w:r>
        <w:rPr>
          <w:rFonts w:eastAsia="Calibri" w:cs="Calibri"/>
          <w:color w:val="2C3340"/>
          <w:sz w:val="21"/>
          <w:szCs w:val="21"/>
        </w:rPr>
        <w:t>Content is modular, multilingual and re-versionable; the toolkit and curriculum build lasting capacity in partner organisations, not one-off outputs.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One coherent brand.  </w:t>
      </w:r>
      <w:r>
        <w:rPr>
          <w:rFonts w:eastAsia="Calibri" w:cs="Calibri"/>
          <w:color w:val="2C3340"/>
          <w:sz w:val="21"/>
          <w:szCs w:val="21"/>
        </w:rPr>
        <w:t>A single recurring cast and visual system means every shilling of production compounds recognition across formats.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11827"/>
              <w:left w:val="single" w:sz="28" w:space="0" w:color="C6A15B"/>
              <w:bottom w:val="single" w:sz="2" w:space="0" w:color="111827"/>
              <w:right w:val="single" w:sz="2" w:space="0" w:color="111827"/>
            </w:tcBorders>
            <w:shd w:fill="111827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color w:val="C6A15B"/>
                <w:sz w:val="20"/>
                <w:szCs w:val="20"/>
              </w:rPr>
              <w:t xml:space="preserve">The bottom line. </w:t>
            </w:r>
            <w:r>
              <w:rPr>
                <w:rFonts w:eastAsia="Calibri" w:cs="Calibri"/>
                <w:color w:val="FFFFFF"/>
                <w:sz w:val="20"/>
                <w:szCs w:val="20"/>
              </w:rPr>
              <w:t>Kenya’s SRHR future will be decided by who gets to define what reproductive health means in public and private life. This package is a disciplined, evidence-based bid to win that definition — reframing SRHR around health, family and dignity, carried by the people Kenyans already trust.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60" w:after="0"/>
        <w:jc w:val="center"/>
        <w:rPr/>
      </w:pPr>
      <w:r>
        <w:rPr>
          <w:rFonts w:eastAsia="Calibri" w:cs="Calibri"/>
          <w:i/>
          <w:iCs/>
          <w:color w:val="222B42"/>
          <w:sz w:val="19"/>
          <w:szCs w:val="19"/>
        </w:rPr>
        <w:t>Respectfully. Relentlessly. Together.</w:t>
      </w:r>
    </w:p>
    <w:p>
      <w:pPr>
        <w:pStyle w:val="Normal"/>
        <w:spacing w:before="40" w:after="0"/>
        <w:jc w:val="center"/>
        <w:rPr/>
      </w:pPr>
      <w:r>
        <w:rPr>
          <w:rFonts w:eastAsia="Calibri" w:cs="Calibri"/>
          <w:color w:val="8892B0"/>
          <w:sz w:val="15"/>
          <w:szCs w:val="15"/>
        </w:rPr>
        <w:t>Community Media Trust (CoMeT)  ·  imaarishasrhr.org  ·  cmt.kenya@gmail.com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80" w:right="1180" w:gutter="0" w:header="708" w:top="1180" w:footer="708" w:bottom="108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Phase 2 Programme Summary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Phase 2 Programme Summary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C3340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C3340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2026-09-11T18:39:42Z</dcterms:created>
  <dc:creator>Un-named</dc:creator>
  <dc:description/>
  <dc:language>en-US</dc:language>
  <cp:lastModifiedBy>Un-named</cp:lastModifiedBy>
  <dcterms:modified xsi:type="dcterms:W3CDTF">2026-09-11T18:39:42Z</dcterms:modified>
  <cp:revision>1</cp:revision>
  <dc:subject/>
  <dc:title/>
</cp:coreProperties>
</file>