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520" w:type="dxa"/>
          <w:left w:w="360" w:type="dxa"/>
          <w:bottom w:w="520" w:type="dxa"/>
          <w:right w:w="360" w:type="dxa"/>
        </w:tblCellMar>
      </w:tblPr>
      <w:tblGrid>
        <w:gridCol w:w="9360"/>
      </w:tblGrid>
      <w:tr>
        <w:trPr/>
        <w:tc>
          <w:tcPr>
            <w:tcW w:w="9360" w:type="dxa"/>
            <w:tcBorders>
              <w:top w:val="single" w:sz="4" w:space="0" w:color="111827"/>
              <w:left w:val="single" w:sz="4" w:space="0" w:color="111827"/>
              <w:bottom w:val="single" w:sz="4" w:space="0" w:color="111827"/>
              <w:right w:val="single" w:sz="4" w:space="0" w:color="111827"/>
            </w:tcBorders>
            <w:shd w:fill="111827" w:val="clear"/>
          </w:tcPr>
          <w:p>
            <w:pPr>
              <w:pStyle w:val="Normal"/>
              <w:spacing w:before="0" w:after="200"/>
              <w:rPr/>
            </w:pPr>
            <w:r>
              <w:rPr>
                <w:rFonts w:eastAsia="Calibri" w:cs="Calibri"/>
                <w:b/>
                <w:bCs/>
                <w:color w:val="FFFFFF"/>
                <w:sz w:val="30"/>
                <w:szCs w:val="30"/>
              </w:rPr>
              <w:t>Imaarisha</w:t>
            </w:r>
            <w:r>
              <w:rPr>
                <w:rFonts w:eastAsia="Calibri" w:cs="Calibri"/>
                <w:b/>
                <w:bCs/>
                <w:color w:val="C6A15B"/>
                <w:sz w:val="30"/>
                <w:szCs w:val="30"/>
              </w:rPr>
              <w:t>SRHR</w:t>
            </w:r>
          </w:p>
          <w:p>
            <w:pPr>
              <w:pStyle w:val="Normal"/>
              <w:spacing w:before="0" w:after="60"/>
              <w:rPr/>
            </w:pPr>
            <w:r>
              <w:rPr>
                <w:rFonts w:eastAsia="Calibri" w:cs="Calibri"/>
                <w:b/>
                <w:bCs/>
                <w:color w:val="C6A15B"/>
                <w:spacing w:val="40"/>
                <w:sz w:val="18"/>
                <w:szCs w:val="18"/>
              </w:rPr>
              <w:t>PHASE 2 · MEDIA DEVELOPMENT · TOOLKIT 2 OF 3</w:t>
            </w:r>
          </w:p>
          <w:p>
            <w:pPr>
              <w:pStyle w:val="Normal"/>
              <w:spacing w:before="0" w:after="20"/>
              <w:rPr/>
            </w:pPr>
            <w:r>
              <w:rPr>
                <w:rFonts w:eastAsia="Calibri" w:cs="Calibri"/>
                <w:b/>
                <w:bCs/>
                <w:color w:val="FFFFFF"/>
                <w:sz w:val="46"/>
                <w:szCs w:val="46"/>
              </w:rPr>
              <w:t>Five Short Videos</w:t>
            </w:r>
          </w:p>
          <w:p>
            <w:pPr>
              <w:pStyle w:val="Normal"/>
              <w:spacing w:before="0" w:after="160"/>
              <w:rPr/>
            </w:pPr>
            <w:r>
              <w:rPr>
                <w:rFonts w:eastAsia="Calibri" w:cs="Calibri"/>
                <w:b/>
                <w:bCs/>
                <w:color w:val="FFFFFF"/>
                <w:sz w:val="46"/>
                <w:szCs w:val="46"/>
              </w:rPr>
              <w:t>Treatments &amp; Scripts</w:t>
            </w:r>
          </w:p>
          <w:p>
            <w:pPr>
              <w:pStyle w:val="Normal"/>
              <w:spacing w:before="0" w:after="220"/>
              <w:rPr/>
            </w:pPr>
            <w:r>
              <w:rPr>
                <w:rFonts w:eastAsia="Calibri" w:cs="Calibri"/>
                <w:color w:val="C9D1E0"/>
                <w:sz w:val="24"/>
                <w:szCs w:val="24"/>
              </w:rPr>
              <w:t>Evidence-based film treatments, synopses and full shooting scripts for five values-framed SRHR explainer videos — grounded in the Phase 1 research and the science of entertainment-education, with format and production recommendations.</w:t>
            </w:r>
          </w:p>
          <w:p>
            <w:pPr>
              <w:pStyle w:val="Normal"/>
              <w:spacing w:before="0" w:after="40"/>
              <w:rPr/>
            </w:pPr>
            <w:r>
              <w:rPr>
                <w:rFonts w:eastAsia="Calibri" w:cs="Calibri"/>
                <w:color w:val="8892B0"/>
                <w:sz w:val="18"/>
                <w:szCs w:val="18"/>
              </w:rPr>
              <w:t>Community Media Trust (CoMeT)  ·  July 2026</w:t>
            </w:r>
          </w:p>
          <w:p>
            <w:pPr>
              <w:pStyle w:val="Normal"/>
              <w:spacing w:before="0" w:after="40"/>
              <w:rPr/>
            </w:pPr>
            <w:r>
              <w:rPr>
                <w:rFonts w:eastAsia="Calibri" w:cs="Calibri"/>
                <w:color w:val="8892B0"/>
                <w:sz w:val="18"/>
                <w:szCs w:val="18"/>
              </w:rPr>
              <w:t>Built on the ImaarishaSRHR Phase 1 evidence base and the wider research literature</w:t>
            </w:r>
          </w:p>
          <w:p>
            <w:pPr>
              <w:pStyle w:val="Normal"/>
              <w:spacing w:before="0" w:after="40"/>
              <w:rPr/>
            </w:pPr>
            <w:r>
              <w:rPr>
                <w:rFonts w:eastAsia="Calibri" w:cs="Calibri"/>
                <w:color w:val="8892B0"/>
                <w:sz w:val="18"/>
                <w:szCs w:val="18"/>
              </w:rPr>
              <w:t>imaarishasrhr.org  ·  #ImaarishaSRHR · #AmplifyChange</w:t>
            </w:r>
          </w:p>
        </w:tc>
      </w:tr>
    </w:tbl>
    <w:p>
      <w:pPr>
        <w:pStyle w:val="Normal"/>
        <w:spacing w:before="0" w:after="140"/>
        <w:rPr/>
      </w:pPr>
      <w:r>
        <w:rPr/>
      </w:r>
    </w:p>
    <w:p>
      <w:pPr>
        <w:pStyle w:val="Normal"/>
        <w:spacing w:lineRule="exact" w:line="264" w:before="0" w:after="120"/>
        <w:jc w:val="center"/>
        <w:rPr/>
      </w:pPr>
      <w:r>
        <w:rPr>
          <w:rFonts w:eastAsia="Calibri" w:cs="Calibri"/>
          <w:i/>
          <w:iCs/>
          <w:color w:val="8892B0"/>
          <w:sz w:val="18"/>
          <w:szCs w:val="18"/>
        </w:rPr>
        <w:t>Every creative choice here is anchored in evidence. Bracketed numbers [n] refer to the Sources list at the end.</w:t>
      </w:r>
      <w:r>
        <w:br w:type="page"/>
      </w:r>
    </w:p>
    <w:p>
      <w:pPr>
        <w:pStyle w:val="Normal"/>
        <w:keepNext w:val="true"/>
        <w:spacing w:before="0" w:after="40"/>
        <w:rPr/>
      </w:pPr>
      <w:r>
        <w:rPr>
          <w:rFonts w:eastAsia="Calibri" w:cs="Calibri"/>
          <w:b/>
          <w:bCs/>
          <w:color w:val="C6A15B"/>
          <w:spacing w:val="30"/>
          <w:sz w:val="16"/>
          <w:szCs w:val="16"/>
        </w:rPr>
        <w:t>THE EVIDENCE BEHIND THE SLATE</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Why these videos, made this way</w:t>
      </w:r>
    </w:p>
    <w:p>
      <w:pPr>
        <w:pStyle w:val="Normal"/>
        <w:spacing w:lineRule="exact" w:line="268" w:before="0" w:after="120"/>
        <w:rPr/>
      </w:pPr>
      <w:r>
        <w:rPr>
          <w:rFonts w:eastAsia="Calibri" w:cs="Calibri"/>
          <w:color w:val="2C3340"/>
          <w:sz w:val="21"/>
          <w:szCs w:val="21"/>
        </w:rPr>
        <w:t>These are not five films in search of an audience. Each is engineered from the Phase 1 findings and the science of how audiovisual media changes health behaviour. Three evidence bases shape every decision below: what Kenyans told the opinion poll and the focus groups, what the social-listening data revealed about the digital street, and the global research on entertainment-education and narrative persuasion.</w:t>
      </w:r>
      <w:r>
        <w:rPr>
          <w:rFonts w:eastAsia="Calibri" w:cs="Calibri"/>
          <w:b/>
          <w:bCs/>
          <w:color w:val="A8863F"/>
          <w:sz w:val="13"/>
          <w:szCs w:val="13"/>
          <w:vertAlign w:val="superscript"/>
        </w:rPr>
        <w:t xml:space="preserve"> [1,2,3]</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Entertainment-education — why story beats lecture</w:t>
            </w:r>
          </w:p>
          <w:p>
            <w:pPr>
              <w:pStyle w:val="Normal"/>
              <w:spacing w:lineRule="exact" w:line="266" w:before="0" w:after="0"/>
              <w:rPr/>
            </w:pPr>
            <w:r>
              <w:rPr>
                <w:rFonts w:eastAsia="Calibri" w:cs="Calibri"/>
                <w:color w:val="2C3340"/>
                <w:sz w:val="20"/>
                <w:szCs w:val="20"/>
              </w:rPr>
              <w:t>The most robust tradition in health communication, the Sabido / entertainment-education method, shows that audiences change attitudes and behaviour when they identify with characters and follow a story — not when they are lectured with facts. Narrative persuasion works by lowering resistance (we don’t argue with a story the way we argue with a claim), building self-efficacy (if she can, I can), and modelling a new norm. Every treatment here leads with a human story and lets the fact ride inside it.</w:t>
            </w:r>
            <w:r>
              <w:rPr>
                <w:rFonts w:eastAsia="Calibri" w:cs="Calibri"/>
                <w:b/>
                <w:bCs/>
                <w:color w:val="A8863F"/>
                <w:sz w:val="13"/>
                <w:szCs w:val="13"/>
                <w:vertAlign w:val="superscript"/>
              </w:rPr>
              <w:t xml:space="preserve"> [5,10]</w:t>
            </w:r>
          </w:p>
        </w:tc>
      </w:tr>
    </w:tbl>
    <w:p>
      <w:pPr>
        <w:pStyle w:val="Normal"/>
        <w:spacing w:before="0" w:after="150"/>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EAF1F6"/>
              <w:left w:val="single" w:sz="28" w:space="0" w:color="3C6E8F"/>
              <w:bottom w:val="single" w:sz="2" w:space="0" w:color="EAF1F6"/>
              <w:right w:val="single" w:sz="2" w:space="0" w:color="EAF1F6"/>
            </w:tcBorders>
            <w:shd w:fill="EAF1F6" w:val="clear"/>
          </w:tcPr>
          <w:p>
            <w:pPr>
              <w:pStyle w:val="Normal"/>
              <w:spacing w:before="0" w:after="70"/>
              <w:rPr/>
            </w:pPr>
            <w:r>
              <w:rPr>
                <w:rFonts w:eastAsia="Calibri" w:cs="Calibri"/>
                <w:b/>
                <w:bCs/>
                <w:color w:val="3C6E8F"/>
                <w:spacing w:val="36"/>
                <w:sz w:val="15"/>
                <w:szCs w:val="15"/>
              </w:rPr>
              <w:t>FRAMEWORK</w:t>
            </w:r>
            <w:r>
              <w:rPr>
                <w:rFonts w:eastAsia="Calibri" w:cs="Calibri"/>
                <w:b/>
                <w:bCs/>
                <w:color w:val="222B42"/>
                <w:sz w:val="20"/>
                <w:szCs w:val="20"/>
              </w:rPr>
              <w:t xml:space="preserve">   ·   Design for the muted, vertical, Sheng-speaking feed</w:t>
            </w:r>
          </w:p>
          <w:p>
            <w:pPr>
              <w:pStyle w:val="Normal"/>
              <w:spacing w:lineRule="exact" w:line="266" w:before="0" w:after="0"/>
              <w:rPr/>
            </w:pPr>
            <w:r>
              <w:rPr>
                <w:rFonts w:eastAsia="Calibri" w:cs="Calibri"/>
                <w:b w:val="false"/>
                <w:bCs w:val="false"/>
                <w:i w:val="false"/>
                <w:iCs w:val="false"/>
                <w:color w:val="2C3340"/>
                <w:sz w:val="21"/>
                <w:szCs w:val="21"/>
              </w:rPr>
              <w:t xml:space="preserve">The social-listening and digital data dictate the form. Most social video is watched on mute, so </w:t>
            </w:r>
            <w:r>
              <w:rPr>
                <w:rFonts w:eastAsia="Calibri" w:cs="Calibri"/>
                <w:b/>
                <w:bCs/>
                <w:i w:val="false"/>
                <w:iCs w:val="false"/>
                <w:color w:val="2C3340"/>
                <w:sz w:val="21"/>
                <w:szCs w:val="21"/>
              </w:rPr>
              <w:t>captions are not optional</w:t>
            </w:r>
            <w:r>
              <w:rPr>
                <w:rFonts w:eastAsia="Calibri" w:cs="Calibri"/>
                <w:b w:val="false"/>
                <w:bCs w:val="false"/>
                <w:i w:val="false"/>
                <w:iCs w:val="false"/>
                <w:color w:val="2C3340"/>
                <w:sz w:val="21"/>
                <w:szCs w:val="21"/>
              </w:rPr>
              <w:t xml:space="preserve"> — they carry the message. Kenya’s feeds are vertical-first and youth-heavy, and </w:t>
            </w:r>
            <w:r>
              <w:rPr>
                <w:rFonts w:eastAsia="Calibri" w:cs="Calibri"/>
                <w:b/>
                <w:bCs/>
                <w:i w:val="false"/>
                <w:iCs w:val="false"/>
                <w:color w:val="2C3340"/>
                <w:sz w:val="21"/>
                <w:szCs w:val="21"/>
              </w:rPr>
              <w:t>Sheng content outperforms English roughly 3:1</w:t>
            </w:r>
            <w:r>
              <w:rPr>
                <w:rFonts w:eastAsia="Calibri" w:cs="Calibri"/>
                <w:b w:val="false"/>
                <w:bCs w:val="false"/>
                <w:i w:val="false"/>
                <w:iCs w:val="false"/>
                <w:color w:val="2C3340"/>
                <w:sz w:val="21"/>
                <w:szCs w:val="21"/>
              </w:rPr>
              <w:t xml:space="preserve"> in sharing among 18–24s. So the slate is shot 9:16, always captioned, and produced in English, Kiswahili and Sheng over the same picture.</w:t>
            </w:r>
            <w:r>
              <w:rPr>
                <w:rFonts w:eastAsia="Calibri" w:cs="Calibri"/>
                <w:b/>
                <w:bCs/>
                <w:color w:val="A8863F"/>
                <w:sz w:val="13"/>
                <w:szCs w:val="13"/>
                <w:vertAlign w:val="superscript"/>
              </w:rPr>
              <w:t xml:space="preserve"> [3,9,11,6]</w:t>
            </w:r>
          </w:p>
        </w:tc>
      </w:tr>
    </w:tbl>
    <w:p>
      <w:pPr>
        <w:pStyle w:val="Normal"/>
        <w:spacing w:before="0" w:after="150"/>
        <w:rPr/>
      </w:pPr>
      <w:r>
        <w:rPr/>
      </w:r>
    </w:p>
    <w:p>
      <w:pPr>
        <w:pStyle w:val="Normal"/>
        <w:spacing w:lineRule="exact" w:line="268" w:before="0" w:after="120"/>
        <w:rPr/>
      </w:pPr>
      <w:r>
        <w:rPr>
          <w:rFonts w:eastAsia="Calibri" w:cs="Calibri"/>
          <w:b w:val="false"/>
          <w:bCs w:val="false"/>
          <w:i w:val="false"/>
          <w:iCs w:val="false"/>
          <w:color w:val="2C3340"/>
          <w:sz w:val="21"/>
          <w:szCs w:val="21"/>
        </w:rPr>
        <w:t xml:space="preserve">And because 71% of Kenyans trust health workers above every other messenger, a </w:t>
      </w:r>
      <w:r>
        <w:rPr>
          <w:rFonts w:eastAsia="Calibri" w:cs="Calibri"/>
          <w:b/>
          <w:bCs/>
          <w:i w:val="false"/>
          <w:iCs w:val="false"/>
          <w:color w:val="111827"/>
          <w:sz w:val="21"/>
          <w:szCs w:val="21"/>
        </w:rPr>
        <w:t>doctor or trusted peer is visibly present for every factual claim</w:t>
      </w:r>
      <w:r>
        <w:rPr>
          <w:rFonts w:eastAsia="Calibri" w:cs="Calibri"/>
          <w:b w:val="false"/>
          <w:bCs w:val="false"/>
          <w:i w:val="false"/>
          <w:iCs w:val="false"/>
          <w:color w:val="2C3340"/>
          <w:sz w:val="21"/>
          <w:szCs w:val="21"/>
        </w:rPr>
        <w:t xml:space="preserve"> in the slate — the single highest-credibility move available to us.</w:t>
      </w:r>
      <w:r>
        <w:rPr>
          <w:rFonts w:eastAsia="Calibri" w:cs="Calibri"/>
          <w:b/>
          <w:bCs/>
          <w:color w:val="A8863F"/>
          <w:sz w:val="13"/>
          <w:szCs w:val="13"/>
          <w:vertAlign w:val="superscript"/>
        </w:rPr>
        <w:t xml:space="preserve"> [2]</w:t>
      </w:r>
    </w:p>
    <w:p>
      <w:pPr>
        <w:pStyle w:val="Heading2"/>
        <w:keepNext w:val="true"/>
        <w:spacing w:before="240" w:after="100"/>
        <w:rPr/>
      </w:pPr>
      <w:r>
        <w:rPr>
          <w:rFonts w:eastAsia="Calibri" w:cs="Calibri" w:ascii="Calibri" w:hAnsi="Calibri"/>
          <w:b/>
          <w:bCs/>
          <w:color w:val="222B42"/>
          <w:sz w:val="25"/>
          <w:szCs w:val="25"/>
        </w:rPr>
        <w:t>The cast on screen — one world across all media</w:t>
      </w:r>
    </w:p>
    <w:p>
      <w:pPr>
        <w:pStyle w:val="Normal"/>
        <w:spacing w:lineRule="exact" w:line="268" w:before="0" w:after="120"/>
        <w:rPr/>
      </w:pPr>
      <w:r>
        <w:rPr>
          <w:rFonts w:eastAsia="Calibri" w:cs="Calibri"/>
          <w:color w:val="2C3340"/>
          <w:sz w:val="21"/>
          <w:szCs w:val="21"/>
        </w:rPr>
        <w:t>These films use the same recurring characters as the Strategic Comms toolkit and the podcast — the Achieng family and their community — so audiences meet the same faces wherever they encounter ImaarishaSRHR. Casting and wardrobe should match the toolkit’s character bible exactly; recognition is part of the strategy.</w:t>
      </w:r>
      <w:r>
        <w:rPr>
          <w:rFonts w:eastAsia="Calibri" w:cs="Calibri"/>
          <w:b/>
          <w:bCs/>
          <w:color w:val="A8863F"/>
          <w:sz w:val="13"/>
          <w:szCs w:val="13"/>
          <w:vertAlign w:val="superscript"/>
        </w:rPr>
        <w:t xml:space="preserve"> [1]</w:t>
      </w:r>
    </w:p>
    <w:tbl>
      <w:tblPr>
        <w:tblW w:w="9360" w:type="dxa"/>
        <w:jc w:val="left"/>
        <w:tblInd w:w="0" w:type="dxa"/>
        <w:tblLayout w:type="fixed"/>
        <w:tblCellMar>
          <w:top w:w="90" w:type="dxa"/>
          <w:left w:w="130" w:type="dxa"/>
          <w:bottom w:w="90" w:type="dxa"/>
          <w:right w:w="130" w:type="dxa"/>
        </w:tblCellMar>
      </w:tblPr>
      <w:tblGrid>
        <w:gridCol w:w="1650"/>
        <w:gridCol w:w="5410"/>
        <w:gridCol w:w="2300"/>
      </w:tblGrid>
      <w:tr>
        <w:trPr>
          <w:tblHeader w:val="true"/>
        </w:trPr>
        <w:tc>
          <w:tcPr>
            <w:tcW w:w="165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Character</w:t>
            </w:r>
          </w:p>
        </w:tc>
        <w:tc>
          <w:tcPr>
            <w:tcW w:w="541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Role on screen</w:t>
            </w:r>
          </w:p>
        </w:tc>
        <w:tc>
          <w:tcPr>
            <w:tcW w:w="23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5"/>
                <w:szCs w:val="15"/>
              </w:rPr>
              <w:t>Appears in</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Agneta, 17</w:t>
            </w:r>
          </w:p>
        </w:tc>
        <w:tc>
          <w:tcPr>
            <w:tcW w:w="541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The young woman at the centre — wants to be a nurse, afraid of a pregnancy ending that.</w:t>
            </w:r>
          </w:p>
        </w:tc>
        <w:tc>
          <w:tcPr>
            <w:tcW w:w="2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Videos 1, 5 (and referenced throughout)</w:t>
            </w:r>
          </w:p>
        </w:tc>
      </w:tr>
      <w:tr>
        <w:trPr/>
        <w:tc>
          <w:tcPr>
            <w:tcW w:w="1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Aunty Beth, 52</w:t>
            </w:r>
          </w:p>
        </w:tc>
        <w:tc>
          <w:tcPr>
            <w:tcW w:w="541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loving aunt whose warnings carry myths — and who can change.</w:t>
            </w:r>
          </w:p>
        </w:tc>
        <w:tc>
          <w:tcPr>
            <w:tcW w:w="2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Videos 1, 3</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Nurse Wanjiru, 34</w:t>
            </w:r>
          </w:p>
        </w:tc>
        <w:tc>
          <w:tcPr>
            <w:tcW w:w="541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The trusted clinician (71% trust) who voices every factual claim.</w:t>
            </w:r>
          </w:p>
        </w:tc>
        <w:tc>
          <w:tcPr>
            <w:tcW w:w="2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Videos 2, 3, 4, 5</w:t>
            </w:r>
          </w:p>
        </w:tc>
      </w:tr>
      <w:tr>
        <w:trPr/>
        <w:tc>
          <w:tcPr>
            <w:tcW w:w="1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Uncle Silas, 39</w:t>
            </w:r>
          </w:p>
        </w:tc>
        <w:tc>
          <w:tcPr>
            <w:tcW w:w="541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devout relative who forwards the disinformation, meaning well.</w:t>
            </w:r>
          </w:p>
        </w:tc>
        <w:tc>
          <w:tcPr>
            <w:tcW w:w="2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Video 2</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Kevo, 22</w:t>
            </w:r>
          </w:p>
        </w:tc>
        <w:tc>
          <w:tcPr>
            <w:tcW w:w="541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Agneta’s cousin, the Sheng TikTok peer guide.</w:t>
            </w:r>
          </w:p>
        </w:tc>
        <w:tc>
          <w:tcPr>
            <w:tcW w:w="2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Videos 4, 5</w:t>
            </w:r>
          </w:p>
        </w:tc>
      </w:tr>
      <w:tr>
        <w:trPr/>
        <w:tc>
          <w:tcPr>
            <w:tcW w:w="165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Brenda, 19</w:t>
            </w:r>
          </w:p>
        </w:tc>
        <w:tc>
          <w:tcPr>
            <w:tcW w:w="541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The friend who left school pregnant; now a peer advocate.</w:t>
            </w:r>
          </w:p>
        </w:tc>
        <w:tc>
          <w:tcPr>
            <w:tcW w:w="2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5"/>
                <w:szCs w:val="15"/>
              </w:rPr>
              <w:t>Video 4</w:t>
            </w:r>
          </w:p>
        </w:tc>
      </w:tr>
      <w:tr>
        <w:trPr/>
        <w:tc>
          <w:tcPr>
            <w:tcW w:w="165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Rev. Otieno, 55</w:t>
            </w:r>
          </w:p>
        </w:tc>
        <w:tc>
          <w:tcPr>
            <w:tcW w:w="541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The pastor turned ally.</w:t>
            </w:r>
          </w:p>
        </w:tc>
        <w:tc>
          <w:tcPr>
            <w:tcW w:w="2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5"/>
                <w:szCs w:val="15"/>
              </w:rPr>
              <w:t>Video 4</w:t>
            </w:r>
          </w:p>
        </w:tc>
      </w:tr>
    </w:tbl>
    <w:p>
      <w:pPr>
        <w:pStyle w:val="Normal"/>
        <w:spacing w:lineRule="exact" w:line="250" w:before="0" w:after="130"/>
        <w:rPr/>
      </w:pPr>
      <w:r>
        <w:rPr>
          <w:rFonts w:eastAsia="Calibri" w:cs="Calibri"/>
          <w:i/>
          <w:iCs/>
          <w:color w:val="8892B0"/>
          <w:sz w:val="15"/>
          <w:szCs w:val="15"/>
        </w:rPr>
        <w:t>Characters are composites from the Phase 1 research — see the toolkit’s character bible</w:t>
      </w:r>
      <w:r>
        <w:rPr>
          <w:rFonts w:eastAsia="Calibri" w:cs="Calibri"/>
          <w:b/>
          <w:bCs/>
          <w:color w:val="A8863F"/>
          <w:sz w:val="13"/>
          <w:szCs w:val="13"/>
          <w:vertAlign w:val="superscript"/>
        </w:rPr>
        <w:t xml:space="preserve"> [1]</w:t>
      </w:r>
      <w:r>
        <w:rPr>
          <w:rFonts w:eastAsia="Calibri" w:cs="Calibri"/>
          <w:i/>
          <w:iCs/>
          <w:color w:val="8892B0"/>
          <w:sz w:val="15"/>
          <w:szCs w:val="15"/>
        </w:rPr>
        <w:t>.</w:t>
      </w:r>
    </w:p>
    <w:p>
      <w:pPr>
        <w:pStyle w:val="Heading2"/>
        <w:keepNext w:val="true"/>
        <w:spacing w:before="240" w:after="100"/>
        <w:rPr/>
      </w:pPr>
      <w:r>
        <w:rPr>
          <w:rFonts w:eastAsia="Calibri" w:cs="Calibri" w:ascii="Calibri" w:hAnsi="Calibri"/>
          <w:b/>
          <w:bCs/>
          <w:color w:val="222B42"/>
          <w:sz w:val="25"/>
          <w:szCs w:val="25"/>
        </w:rPr>
        <w:t>The five-video slate at a glance</w:t>
      </w:r>
    </w:p>
    <w:tbl>
      <w:tblPr>
        <w:tblW w:w="9360" w:type="dxa"/>
        <w:jc w:val="left"/>
        <w:tblInd w:w="0" w:type="dxa"/>
        <w:tblLayout w:type="fixed"/>
        <w:tblCellMar>
          <w:top w:w="90" w:type="dxa"/>
          <w:left w:w="130" w:type="dxa"/>
          <w:bottom w:w="90" w:type="dxa"/>
          <w:right w:w="130" w:type="dxa"/>
        </w:tblCellMar>
      </w:tblPr>
      <w:tblGrid>
        <w:gridCol w:w="499"/>
        <w:gridCol w:w="2601"/>
        <w:gridCol w:w="4259"/>
        <w:gridCol w:w="2000"/>
      </w:tblGrid>
      <w:tr>
        <w:trPr>
          <w:tblHeader w:val="true"/>
        </w:trPr>
        <w:tc>
          <w:tcPr>
            <w:tcW w:w="49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t>
            </w:r>
          </w:p>
        </w:tc>
        <w:tc>
          <w:tcPr>
            <w:tcW w:w="26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Video</w:t>
            </w:r>
          </w:p>
        </w:tc>
        <w:tc>
          <w:tcPr>
            <w:tcW w:w="42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Core job</w:t>
            </w:r>
          </w:p>
        </w:tc>
        <w:tc>
          <w:tcPr>
            <w:tcW w:w="20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Lead messenger</w:t>
            </w:r>
          </w:p>
        </w:tc>
      </w:tr>
      <w:tr>
        <w:trPr/>
        <w:tc>
          <w:tcPr>
            <w:tcW w:w="4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1</w:t>
            </w:r>
          </w:p>
        </w:tc>
        <w:tc>
          <w:tcPr>
            <w:tcW w:w="2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Demystifying SRHR</w:t>
            </w:r>
          </w:p>
        </w:tc>
        <w:tc>
          <w:tcPr>
            <w:tcW w:w="4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Reframe SRHR from a clinical/rights label to everyday health &amp; family life</w:t>
            </w:r>
          </w:p>
        </w:tc>
        <w:tc>
          <w:tcPr>
            <w:tcW w:w="2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Warm narrator + real people</w:t>
            </w:r>
          </w:p>
        </w:tc>
      </w:tr>
      <w:tr>
        <w:trPr/>
        <w:tc>
          <w:tcPr>
            <w:tcW w:w="4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2</w:t>
            </w:r>
          </w:p>
        </w:tc>
        <w:tc>
          <w:tcPr>
            <w:tcW w:w="26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SRHR &amp; Disinformation</w:t>
            </w:r>
          </w:p>
        </w:tc>
        <w:tc>
          <w:tcPr>
            <w:tcW w:w="4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Show how false information spreads — and how to pause before sharing</w:t>
            </w:r>
          </w:p>
        </w:tc>
        <w:tc>
          <w:tcPr>
            <w:tcW w:w="2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Narrator + doctor</w:t>
            </w:r>
          </w:p>
        </w:tc>
      </w:tr>
      <w:tr>
        <w:trPr/>
        <w:tc>
          <w:tcPr>
            <w:tcW w:w="4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w:t>
            </w:r>
          </w:p>
        </w:tc>
        <w:tc>
          <w:tcPr>
            <w:tcW w:w="2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SRHR Myths &amp; Facts</w:t>
            </w:r>
          </w:p>
        </w:tc>
        <w:tc>
          <w:tcPr>
            <w:tcW w:w="4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Bust the most common contraceptive-safety myths, method by method</w:t>
            </w:r>
          </w:p>
        </w:tc>
        <w:tc>
          <w:tcPr>
            <w:tcW w:w="2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Healthcare professional</w:t>
            </w:r>
          </w:p>
        </w:tc>
      </w:tr>
      <w:tr>
        <w:trPr/>
        <w:tc>
          <w:tcPr>
            <w:tcW w:w="49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4</w:t>
            </w:r>
          </w:p>
        </w:tc>
        <w:tc>
          <w:tcPr>
            <w:tcW w:w="26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Latest Developments on SRHR</w:t>
            </w:r>
          </w:p>
        </w:tc>
        <w:tc>
          <w:tcPr>
            <w:tcW w:w="4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Give an honest, hopeful update on where SRHR stands in Kenya</w:t>
            </w:r>
          </w:p>
        </w:tc>
        <w:tc>
          <w:tcPr>
            <w:tcW w:w="20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Narrator + community voices</w:t>
            </w:r>
          </w:p>
        </w:tc>
      </w:tr>
      <w:tr>
        <w:trPr/>
        <w:tc>
          <w:tcPr>
            <w:tcW w:w="49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5</w:t>
            </w:r>
          </w:p>
        </w:tc>
        <w:tc>
          <w:tcPr>
            <w:tcW w:w="26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Where to Get Safe, Accurate Info</w:t>
            </w:r>
          </w:p>
        </w:tc>
        <w:tc>
          <w:tcPr>
            <w:tcW w:w="4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Point people to trusted sources and dignified services</w:t>
            </w:r>
          </w:p>
        </w:tc>
        <w:tc>
          <w:tcPr>
            <w:tcW w:w="20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Peer guide + doctor</w:t>
            </w:r>
          </w:p>
        </w:tc>
      </w:tr>
    </w:tbl>
    <w:p>
      <w:pPr>
        <w:pStyle w:val="Normal"/>
        <w:spacing w:before="0" w:after="100"/>
        <w:rPr/>
      </w:pPr>
      <w:r>
        <w:rPr/>
      </w:r>
    </w:p>
    <w:p>
      <w:pPr>
        <w:pStyle w:val="Heading2"/>
        <w:keepNext w:val="true"/>
        <w:spacing w:before="240" w:after="100"/>
        <w:rPr/>
      </w:pPr>
      <w:r>
        <w:rPr>
          <w:rFonts w:eastAsia="Calibri" w:cs="Calibri" w:ascii="Calibri" w:hAnsi="Calibri"/>
          <w:b/>
          <w:bCs/>
          <w:color w:val="222B42"/>
          <w:sz w:val="25"/>
          <w:szCs w:val="25"/>
        </w:rPr>
        <w:t>Recommended format mix</w:t>
      </w:r>
    </w:p>
    <w:p>
      <w:pPr>
        <w:pStyle w:val="Normal"/>
        <w:spacing w:lineRule="exact" w:line="268" w:before="0" w:after="120"/>
        <w:rPr/>
      </w:pPr>
      <w:r>
        <w:rPr>
          <w:rFonts w:eastAsia="Calibri" w:cs="Calibri"/>
          <w:color w:val="2C3340"/>
          <w:sz w:val="21"/>
          <w:szCs w:val="21"/>
        </w:rPr>
        <w:t>No single technique fits all five; the recommendation is a consistent visual system with the technique tuned to each film’s job. The choices are evidence-led — animation to show mechanisms without filming real victims, a visible clinician where credibility is the point, documentary texture where authenticity carries the argument.</w:t>
      </w:r>
      <w:r>
        <w:rPr>
          <w:rFonts w:eastAsia="Calibri" w:cs="Calibri"/>
          <w:b/>
          <w:bCs/>
          <w:color w:val="A8863F"/>
          <w:sz w:val="13"/>
          <w:szCs w:val="13"/>
          <w:vertAlign w:val="superscript"/>
        </w:rPr>
        <w:t xml:space="preserve"> [1]</w:t>
      </w:r>
    </w:p>
    <w:tbl>
      <w:tblPr>
        <w:tblW w:w="9360" w:type="dxa"/>
        <w:jc w:val="left"/>
        <w:tblInd w:w="0" w:type="dxa"/>
        <w:tblLayout w:type="fixed"/>
        <w:tblCellMar>
          <w:top w:w="90" w:type="dxa"/>
          <w:left w:w="130" w:type="dxa"/>
          <w:bottom w:w="90" w:type="dxa"/>
          <w:right w:w="130" w:type="dxa"/>
        </w:tblCellMar>
      </w:tblPr>
      <w:tblGrid>
        <w:gridCol w:w="2100"/>
        <w:gridCol w:w="3559"/>
        <w:gridCol w:w="3701"/>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Video</w:t>
            </w:r>
          </w:p>
        </w:tc>
        <w:tc>
          <w:tcPr>
            <w:tcW w:w="35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Recommended type</w:t>
            </w:r>
          </w:p>
        </w:tc>
        <w:tc>
          <w:tcPr>
            <w:tcW w:w="37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6"/>
                <w:szCs w:val="16"/>
              </w:rPr>
              <w:t>Why (evidence)</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1 · Demystifying</w:t>
            </w:r>
          </w:p>
        </w:tc>
        <w:tc>
          <w:tcPr>
            <w:tcW w:w="3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Live-action vignettes + kinetic typography</w:t>
            </w:r>
          </w:p>
        </w:tc>
        <w:tc>
          <w:tcPr>
            <w:tcW w:w="37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Real Kenyan faces humanise an abstract term; on-screen text survives muted autoplay.</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2 · Disinformation</w:t>
            </w:r>
          </w:p>
        </w:tc>
        <w:tc>
          <w:tcPr>
            <w:tcW w:w="3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2D motion graphics + a live doctor insert</w:t>
            </w:r>
          </w:p>
        </w:tc>
        <w:tc>
          <w:tcPr>
            <w:tcW w:w="37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Animation shows how a rumour spreads without amplifying a real myth or naming individuals.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3 · Myths &amp; Facts</w:t>
            </w:r>
          </w:p>
        </w:tc>
        <w:tc>
          <w:tcPr>
            <w:tcW w:w="3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Doctor-to-camera + split-screen Myth/Fact</w:t>
            </w:r>
          </w:p>
        </w:tc>
        <w:tc>
          <w:tcPr>
            <w:tcW w:w="37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Credibility needs a visible clinician (71% trust); graphics make each fact screenshot-shareable.</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4 · Latest Developments</w:t>
            </w:r>
          </w:p>
        </w:tc>
        <w:tc>
          <w:tcPr>
            <w:tcW w:w="35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Documentary B-roll + data motion graphics</w:t>
            </w:r>
          </w:p>
        </w:tc>
        <w:tc>
          <w:tcPr>
            <w:tcW w:w="37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6"/>
                <w:szCs w:val="16"/>
              </w:rPr>
              <w:t>Real footage grounds the claims; animated stats communicate change clearly.</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5 · Where to Get Info</w:t>
            </w:r>
          </w:p>
        </w:tc>
        <w:tc>
          <w:tcPr>
            <w:tcW w:w="35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Peer walkthrough + icon animation</w:t>
            </w:r>
          </w:p>
        </w:tc>
        <w:tc>
          <w:tcPr>
            <w:tcW w:w="37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6"/>
                <w:szCs w:val="16"/>
              </w:rPr>
              <w:t>A relatable peer plus clear icons make the “how” concrete for the 62% who start with peers/social.</w:t>
            </w:r>
          </w:p>
        </w:tc>
      </w:tr>
    </w:tbl>
    <w:p>
      <w:pPr>
        <w:pStyle w:val="Normal"/>
        <w:spacing w:lineRule="exact" w:line="250" w:before="0" w:after="130"/>
        <w:rPr/>
      </w:pPr>
      <w:r>
        <w:rPr>
          <w:rFonts w:eastAsia="Calibri" w:cs="Calibri"/>
          <w:i/>
          <w:iCs/>
          <w:color w:val="8892B0"/>
          <w:sz w:val="15"/>
          <w:szCs w:val="15"/>
        </w:rPr>
        <w:t>Format rationale: TIFA (trust), social listening (digital behaviour) and the research report</w:t>
      </w:r>
      <w:r>
        <w:rPr>
          <w:rFonts w:eastAsia="Calibri" w:cs="Calibri"/>
          <w:b/>
          <w:bCs/>
          <w:color w:val="A8863F"/>
          <w:sz w:val="13"/>
          <w:szCs w:val="13"/>
          <w:vertAlign w:val="superscript"/>
        </w:rPr>
        <w:t xml:space="preserve"> [2,3,1]</w:t>
      </w:r>
      <w:r>
        <w:rPr>
          <w:rFonts w:eastAsia="Calibri" w:cs="Calibri"/>
          <w:i/>
          <w:iCs/>
          <w:color w:val="8892B0"/>
          <w:sz w:val="15"/>
          <w:szCs w:val="15"/>
        </w:rPr>
        <w: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2" w:space="0" w:color="F4F1EA"/>
              <w:left w:val="single" w:sz="28" w:space="0" w:color="C6A15B"/>
              <w:bottom w:val="single" w:sz="2" w:space="0" w:color="F4F1EA"/>
              <w:right w:val="single" w:sz="2" w:space="0" w:color="F4F1EA"/>
            </w:tcBorders>
            <w:shd w:fill="F4F1EA" w:val="clear"/>
          </w:tcPr>
          <w:p>
            <w:pPr>
              <w:pStyle w:val="Normal"/>
              <w:spacing w:lineRule="exact" w:line="262" w:before="0" w:after="0"/>
              <w:rPr/>
            </w:pPr>
            <w:r>
              <w:rPr>
                <w:rFonts w:eastAsia="Calibri" w:cs="Calibri"/>
                <w:b/>
                <w:bCs/>
                <w:color w:val="111827"/>
                <w:sz w:val="20"/>
                <w:szCs w:val="20"/>
              </w:rPr>
              <w:t xml:space="preserve">House style for the whole slate: </w:t>
            </w:r>
            <w:r>
              <w:rPr>
                <w:rFonts w:eastAsia="Calibri" w:cs="Calibri"/>
                <w:color w:val="2C3340"/>
                <w:sz w:val="20"/>
                <w:szCs w:val="20"/>
              </w:rPr>
              <w:t>always-on captions; large legible on-screen text; English, Kiswahili and Sheng versions; a doctor or trusted peer present for any factual claim; shot 9:16 first with 1:1 and 16:9 cutdowns; and the same closing call-to-action card on every film.</w:t>
            </w:r>
          </w:p>
        </w:tc>
      </w:tr>
    </w:tbl>
    <w:p>
      <w:pPr>
        <w:pStyle w:val="Normal"/>
        <w:spacing w:before="0" w:after="60"/>
        <w:rPr/>
      </w:pPr>
      <w:r>
        <w:rPr/>
      </w:r>
      <w:r>
        <w:br w:type="page"/>
      </w:r>
    </w:p>
    <w:p>
      <w:pPr>
        <w:pStyle w:val="Normal"/>
        <w:keepNext w:val="true"/>
        <w:spacing w:before="0" w:after="40"/>
        <w:rPr/>
      </w:pPr>
      <w:r>
        <w:rPr>
          <w:rFonts w:eastAsia="Calibri" w:cs="Calibri"/>
          <w:b/>
          <w:bCs/>
          <w:color w:val="C6A15B"/>
          <w:spacing w:val="30"/>
          <w:sz w:val="16"/>
          <w:szCs w:val="16"/>
        </w:rPr>
        <w:t>VIDEO 1</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1  </w:t>
      </w:r>
      <w:r>
        <w:rPr>
          <w:rFonts w:eastAsia="Calibri" w:cs="Calibri" w:ascii="Calibri" w:hAnsi="Calibri"/>
          <w:b/>
          <w:bCs/>
          <w:color w:val="111827"/>
          <w:sz w:val="30"/>
          <w:szCs w:val="30"/>
        </w:rPr>
        <w:t>Demystifying SRHR</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Logline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SRHR is not a clinic word or a foreign idea — it is the everyday health of the people you love.</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75–90 seconds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Format</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Live-action vignettes + kinetic typography; warm, observational</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Audience</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General public 18–35; entry-level, low prior knowledge</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Values frame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Health &amp; family as the door; “rights” arrives only at the very end</w:t>
            </w:r>
          </w:p>
        </w:tc>
      </w:tr>
    </w:tbl>
    <w:p>
      <w:pPr>
        <w:pStyle w:val="Normal"/>
        <w:spacing w:lineRule="exact" w:line="268" w:before="0" w:after="120"/>
        <w:rPr/>
      </w:pPr>
      <w:r>
        <w:rPr>
          <w:rFonts w:eastAsia="Calibri" w:cs="Calibri"/>
          <w:b/>
          <w:bCs/>
          <w:i w:val="false"/>
          <w:iCs w:val="false"/>
          <w:color w:val="A8863F"/>
          <w:sz w:val="21"/>
          <w:szCs w:val="21"/>
        </w:rPr>
        <w:t xml:space="preserve">Evidence anchor. </w:t>
      </w:r>
      <w:r>
        <w:rPr>
          <w:rFonts w:eastAsia="Calibri" w:cs="Calibri"/>
          <w:b w:val="false"/>
          <w:bCs w:val="false"/>
          <w:i w:val="false"/>
          <w:iCs w:val="false"/>
          <w:color w:val="2C3340"/>
          <w:sz w:val="21"/>
          <w:szCs w:val="21"/>
        </w:rPr>
        <w:t>Only 8% of Kenyans link SRHR to rights and 2% to wellbeing, while 30% think first of clinics and 22% of contraception. This film’s entire job is the reframe the data demand: begin at health and family, arrive at rights.</w:t>
      </w:r>
      <w:r>
        <w:rPr>
          <w:rFonts w:eastAsia="Calibri" w:cs="Calibri"/>
          <w:b/>
          <w:bCs/>
          <w:color w:val="A8863F"/>
          <w:sz w:val="13"/>
          <w:szCs w:val="13"/>
          <w:vertAlign w:val="superscript"/>
        </w:rPr>
        <w:t xml:space="preserve"> [2]</w:t>
      </w:r>
    </w:p>
    <w:p>
      <w:pPr>
        <w:pStyle w:val="Heading2"/>
        <w:keepNext w:val="true"/>
        <w:spacing w:before="240" w:after="100"/>
        <w:rPr/>
      </w:pPr>
      <w:r>
        <w:rPr>
          <w:rFonts w:eastAsia="Calibri" w:cs="Calibri" w:ascii="Calibri" w:hAnsi="Calibri"/>
          <w:b/>
          <w:bCs/>
          <w:color w:val="222B42"/>
          <w:sz w:val="25"/>
          <w:szCs w:val="25"/>
        </w:rPr>
        <w:t>Synopsis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We open on ordinary Kenyan life — a mother and daughter cooking, a young couple laughing, a grandmother braiding hair. A gentle narrator asks what “SRHR” really means, then dismantles the jargon one everyday scene at a time: a mother spacing her children so she can care for each one; a young man and his partner deciding their future together; a girl who can ask a question without shame. Each scene lands a plain-language definition on screen. Only at the close does the film name it: “This is sexual and reproductive health. And yes — it is your right.” The audience arrives at rights through health and family, not the other way around.</w:t>
      </w:r>
    </w:p>
    <w:p>
      <w:pPr>
        <w:pStyle w:val="Heading2"/>
        <w:keepNext w:val="true"/>
        <w:spacing w:before="240" w:after="100"/>
        <w:rPr/>
      </w:pPr>
      <w:r>
        <w:rPr>
          <w:rFonts w:eastAsia="Calibri" w:cs="Calibri" w:ascii="Calibri" w:hAnsi="Calibri"/>
          <w:b/>
          <w:bCs/>
          <w:color w:val="222B42"/>
          <w:sz w:val="25"/>
          <w:szCs w:val="25"/>
        </w:rPr>
        <w:t>Treatment</w:t>
      </w:r>
    </w:p>
    <w:p>
      <w:pPr>
        <w:pStyle w:val="Normal"/>
        <w:spacing w:lineRule="exact" w:line="268" w:before="0" w:after="120"/>
        <w:rPr/>
      </w:pPr>
      <w:r>
        <w:rPr>
          <w:rFonts w:eastAsia="Calibri" w:cs="Calibri"/>
          <w:color w:val="2C3340"/>
          <w:sz w:val="21"/>
          <w:szCs w:val="21"/>
        </w:rPr>
        <w:t>Shot handheld and natural, in real homes and neighbourhoods, avoiding clinical settings almost entirely — because the film’s argument is that SRHR lives in life, not only in hospitals. Kinetic typography animates the plain-language definitions so the message survives muted autoplay. Warm acoustic Kenyan score; no fear, no on-screen statistics. This is the “open door” film, and the entertainment-education principle governs it: let the audience recognise themselves before a single fact is offered.</w:t>
      </w:r>
      <w:r>
        <w:rPr>
          <w:rFonts w:eastAsia="Calibri" w:cs="Calibri"/>
          <w:b/>
          <w:bCs/>
          <w:color w:val="A8863F"/>
          <w:sz w:val="13"/>
          <w:szCs w:val="13"/>
          <w:vertAlign w:val="superscript"/>
        </w:rPr>
        <w:t xml:space="preserve"> [5]</w:t>
      </w:r>
    </w:p>
    <w:p>
      <w:pPr>
        <w:pStyle w:val="Heading2"/>
        <w:keepNext w:val="true"/>
        <w:spacing w:before="240" w:after="100"/>
        <w:rPr/>
      </w:pPr>
      <w:r>
        <w:rPr>
          <w:rFonts w:eastAsia="Calibri" w:cs="Calibri" w:ascii="Calibri" w:hAnsi="Calibri"/>
          <w:b/>
          <w:bCs/>
          <w:color w:val="222B42"/>
          <w:sz w:val="25"/>
          <w:szCs w:val="25"/>
        </w:rPr>
        <w:t>Full shooting script</w:t>
      </w:r>
    </w:p>
    <w:tbl>
      <w:tblPr>
        <w:tblW w:w="9360" w:type="dxa"/>
        <w:jc w:val="left"/>
        <w:tblInd w:w="0" w:type="dxa"/>
        <w:tblLayout w:type="fixed"/>
        <w:tblCellMar>
          <w:top w:w="70" w:type="dxa"/>
          <w:left w:w="110" w:type="dxa"/>
          <w:bottom w:w="70" w:type="dxa"/>
          <w:right w:w="110" w:type="dxa"/>
        </w:tblCellMar>
      </w:tblPr>
      <w:tblGrid>
        <w:gridCol w:w="619"/>
        <w:gridCol w:w="4300"/>
        <w:gridCol w:w="4441"/>
      </w:tblGrid>
      <w:tr>
        <w:trPr>
          <w:tblHeader w:val="true"/>
        </w:trPr>
        <w:tc>
          <w:tcPr>
            <w:tcW w:w="61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w:t>
            </w:r>
          </w:p>
        </w:tc>
        <w:tc>
          <w:tcPr>
            <w:tcW w:w="43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VISUAL / ON-SCREEN / DIRECTION</w:t>
            </w:r>
          </w:p>
        </w:tc>
        <w:tc>
          <w:tcPr>
            <w:tcW w:w="444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AUDIO — VO / DIALOGUE / SFX / MUSIC</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1</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Cold open. Close, warm shots of everyday life: hands cooking ugali, a couple laughing on a matatu, a grandmother braiding a child’s hair. Golden morning light.</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What comes to mind when you hear… “SRHR”?</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When you hear the letters S-R-H-R… what do you picture? A clinic? A poster? A word from far away?</w:t>
            </w:r>
          </w:p>
          <w:p>
            <w:pPr>
              <w:pStyle w:val="Normal"/>
              <w:spacing w:lineRule="exact" w:line="248" w:before="0" w:after="0"/>
              <w:rPr/>
            </w:pPr>
            <w:r>
              <w:rPr>
                <w:rFonts w:eastAsia="Calibri" w:cs="Calibri"/>
                <w:i/>
                <w:iCs/>
                <w:color w:val="8892B0"/>
                <w:sz w:val="16"/>
                <w:szCs w:val="16"/>
              </w:rPr>
              <w:t>Music: soft acoustic guitar begins. SFX: ambient home sounds.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2</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Quick cut to a young man shrugging at camera, half-smiling.</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For most of us — not much.</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For most of us, it doesn’t mean much at all.</w:t>
            </w:r>
          </w:p>
          <w:p>
            <w:pPr>
              <w:pStyle w:val="Normal"/>
              <w:spacing w:lineRule="exact" w:line="248" w:before="0" w:after="0"/>
              <w:rPr/>
            </w:pPr>
            <w:r>
              <w:rPr>
                <w:rFonts w:eastAsia="Calibri" w:cs="Calibri"/>
                <w:i/>
                <w:iCs/>
                <w:color w:val="8892B0"/>
                <w:sz w:val="16"/>
                <w:szCs w:val="16"/>
              </w:rPr>
              <w:t>Beat of silence after line.</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3</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Vignette: Mama Grace feeds one child while another does homework; calm, capable.</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It’s a mother choosing when to have her children — so she can care for each one.</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But here’s the truth. It’s already part of your life. It’s a mother — like Grace — deciding when to have her children, so she can give each one her best.</w:t>
            </w:r>
          </w:p>
          <w:p>
            <w:pPr>
              <w:pStyle w:val="Normal"/>
              <w:spacing w:lineRule="exact" w:line="248" w:before="0" w:after="0"/>
              <w:rPr/>
            </w:pPr>
            <w:r>
              <w:rPr>
                <w:rFonts w:eastAsia="Calibri" w:cs="Calibri"/>
                <w:i/>
                <w:iCs/>
                <w:color w:val="8892B0"/>
                <w:sz w:val="16"/>
                <w:szCs w:val="16"/>
              </w:rPr>
              <w:t>Music warms.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4</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Vignette: a young couple talking quietly, sharing a phone, planning.</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It’s two people planning their future — together.</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It’s a couple planning their future together. Deciding, as partners.</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5</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Vignette: Agneta asks her mother Grace a question while they work; Grace answers warmly, no shame.</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It’s a girl who can ask a question — without fear.</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It’s a young woman — like Agneta — who can ask about her body, and get a real answer, without shame.</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6</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Vignette: Baba Tom and a community health promoter chat on a bench, relaxed.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It’s men who are part of the conversation.</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It’s men who are part of the conversation — not outside it.</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7</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Montage accelerates gently — all faces from earlier, warm eye-contact with camera.</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Health. Family. Dignity. Choice.</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This is health. This is family. This is dignity. This is the right to decide about your own life.</w:t>
            </w:r>
          </w:p>
          <w:p>
            <w:pPr>
              <w:pStyle w:val="Normal"/>
              <w:spacing w:lineRule="exact" w:line="248" w:before="0" w:after="0"/>
              <w:rPr/>
            </w:pPr>
            <w:r>
              <w:rPr>
                <w:rFonts w:eastAsia="Calibri" w:cs="Calibri"/>
                <w:i/>
                <w:iCs/>
                <w:color w:val="8892B0"/>
                <w:sz w:val="16"/>
                <w:szCs w:val="16"/>
              </w:rPr>
              <w:t>Music swells softly.</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8</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Settle on one calm, direct face. Then to clean end-card.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This is sexual &amp; reproductive health. And yes — it’s your right.</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This is sexual and reproductive health. It’s already yours. And yes — it is your right.</w:t>
            </w:r>
          </w:p>
          <w:p>
            <w:pPr>
              <w:pStyle w:val="Normal"/>
              <w:spacing w:lineRule="exact" w:line="248" w:before="0" w:after="0"/>
              <w:rPr/>
            </w:pPr>
            <w:r>
              <w:rPr>
                <w:rFonts w:eastAsia="Calibri" w:cs="Calibri"/>
                <w:i/>
                <w:iCs/>
                <w:color w:val="8892B0"/>
                <w:sz w:val="16"/>
                <w:szCs w:val="16"/>
              </w:rPr>
              <w:t>Music resolves.</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9</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ImaarishaSRHR end-card: logo, handle, tagline.</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ImaarishaSRHR · #AmplifyChange · imaarishasrhr.org</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(no VO) — soft musical button.</w:t>
            </w:r>
          </w:p>
          <w:p>
            <w:pPr>
              <w:pStyle w:val="Normal"/>
              <w:spacing w:lineRule="exact" w:line="248" w:before="0" w:after="0"/>
              <w:rPr/>
            </w:pPr>
            <w:r>
              <w:rPr>
                <w:rFonts w:eastAsia="Calibri" w:cs="Calibri"/>
                <w:i/>
                <w:iCs/>
                <w:color w:val="8892B0"/>
                <w:sz w:val="16"/>
                <w:szCs w:val="16"/>
              </w:rPr>
              <w:t>CTA card: consistent across all 5 videos.</w:t>
            </w:r>
          </w:p>
        </w:tc>
      </w:tr>
    </w:tbl>
    <w:p>
      <w:pPr>
        <w:pStyle w:val="Normal"/>
        <w:spacing w:before="0" w:after="120"/>
        <w:rPr/>
      </w:pPr>
      <w:r>
        <w:rPr/>
      </w:r>
    </w:p>
    <w:p>
      <w:pPr>
        <w:pStyle w:val="Heading3"/>
        <w:keepNext w:val="true"/>
        <w:spacing w:before="180" w:after="70"/>
        <w:rPr/>
      </w:pPr>
      <w:r>
        <w:rPr>
          <w:rFonts w:eastAsia="Calibri" w:cs="Calibri" w:ascii="Calibri" w:hAnsi="Calibri"/>
          <w:b/>
          <w:bCs/>
          <w:color w:val="A8863F"/>
          <w:sz w:val="22"/>
          <w:szCs w:val="22"/>
        </w:rPr>
        <w:t>Production notes</w:t>
      </w:r>
    </w:p>
    <w:p>
      <w:pPr>
        <w:pStyle w:val="ListParagraph"/>
        <w:numPr>
          <w:ilvl w:val="0"/>
          <w:numId w:val="3"/>
        </w:numPr>
        <w:spacing w:lineRule="exact" w:line="258" w:before="0" w:after="70"/>
        <w:rPr/>
      </w:pPr>
      <w:r>
        <w:rPr>
          <w:rFonts w:eastAsia="Calibri" w:cs="Calibri"/>
          <w:b w:val="false"/>
          <w:bCs w:val="false"/>
          <w:i w:val="false"/>
          <w:iCs w:val="false"/>
          <w:caps w:val="false"/>
          <w:smallCaps w:val="false"/>
          <w:color w:val="2C3340"/>
          <w:sz w:val="21"/>
          <w:szCs w:val="21"/>
        </w:rPr>
        <w:t>Cast real community members where possible — authenticity is the mechanism, per the entertainment-education evidence.</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Produce English, Kiswahili and Sheng voiceovers over the same picture; burn in captions on all versions.</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Vertical 9:16 master; export 1:1 and 16:9. No clinical or fear imagery — this is the open-door film.</w:t>
      </w:r>
    </w:p>
    <w:p>
      <w:pPr>
        <w:pStyle w:val="Normal"/>
        <w:spacing w:before="0" w:after="80"/>
        <w:rPr/>
      </w:pPr>
      <w:r>
        <w:rPr/>
      </w:r>
      <w:r>
        <w:br w:type="page"/>
      </w:r>
    </w:p>
    <w:p>
      <w:pPr>
        <w:pStyle w:val="Normal"/>
        <w:keepNext w:val="true"/>
        <w:spacing w:before="0" w:after="40"/>
        <w:rPr/>
      </w:pPr>
      <w:r>
        <w:rPr>
          <w:rFonts w:eastAsia="Calibri" w:cs="Calibri"/>
          <w:b/>
          <w:bCs/>
          <w:color w:val="C6A15B"/>
          <w:spacing w:val="30"/>
          <w:sz w:val="16"/>
          <w:szCs w:val="16"/>
        </w:rPr>
        <w:t>VIDEO 2</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2  </w:t>
      </w:r>
      <w:r>
        <w:rPr>
          <w:rFonts w:eastAsia="Calibri" w:cs="Calibri" w:ascii="Calibri" w:hAnsi="Calibri"/>
          <w:b/>
          <w:bCs/>
          <w:color w:val="111827"/>
          <w:sz w:val="30"/>
          <w:szCs w:val="30"/>
        </w:rPr>
        <w:t>SRHR &amp; Disinformation</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Logline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A rumour can travel faster than the truth — and cost real lives. Here’s how to slow it down.</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75–90 seconds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Format</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2D motion graphics with a short live-action doctor insert</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Audience</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Digitally active 18–35; WhatsApp and X users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Values frame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Protecting the people you love; sharing responsibly is an act of care</w:t>
            </w:r>
          </w:p>
        </w:tc>
      </w:tr>
    </w:tbl>
    <w:p>
      <w:pPr>
        <w:pStyle w:val="Normal"/>
        <w:spacing w:lineRule="exact" w:line="268" w:before="0" w:after="120"/>
        <w:rPr/>
      </w:pPr>
      <w:r>
        <w:rPr>
          <w:rFonts w:eastAsia="Calibri" w:cs="Calibri"/>
          <w:b/>
          <w:bCs/>
          <w:i w:val="false"/>
          <w:iCs w:val="false"/>
          <w:color w:val="A8863F"/>
          <w:sz w:val="21"/>
          <w:szCs w:val="21"/>
        </w:rPr>
        <w:t xml:space="preserve">Evidence anchor. </w:t>
      </w:r>
      <w:r>
        <w:rPr>
          <w:rFonts w:eastAsia="Calibri" w:cs="Calibri"/>
          <w:b w:val="false"/>
          <w:bCs w:val="false"/>
          <w:i w:val="false"/>
          <w:iCs w:val="false"/>
          <w:color w:val="2C3340"/>
          <w:sz w:val="21"/>
          <w:szCs w:val="21"/>
        </w:rPr>
        <w:t>Only 3.6% of Kenya’s SRHR content is affirming, and the 2026 HIV faith-healing wave reached 16.8M in eight weeks — with the correction arriving weeks late. The film teaches the "pause before sharing" habit and models the truth-sandwich correction.</w:t>
      </w:r>
      <w:r>
        <w:rPr>
          <w:rFonts w:eastAsia="Calibri" w:cs="Calibri"/>
          <w:b/>
          <w:bCs/>
          <w:color w:val="A8863F"/>
          <w:sz w:val="13"/>
          <w:szCs w:val="13"/>
          <w:vertAlign w:val="superscript"/>
        </w:rPr>
        <w:t xml:space="preserve"> [3,7]</w:t>
      </w:r>
    </w:p>
    <w:p>
      <w:pPr>
        <w:pStyle w:val="Heading2"/>
        <w:keepNext w:val="true"/>
        <w:spacing w:before="240" w:after="100"/>
        <w:rPr/>
      </w:pPr>
      <w:r>
        <w:rPr>
          <w:rFonts w:eastAsia="Calibri" w:cs="Calibri" w:ascii="Calibri" w:hAnsi="Calibri"/>
          <w:b/>
          <w:bCs/>
          <w:color w:val="222B42"/>
          <w:sz w:val="25"/>
          <w:szCs w:val="25"/>
        </w:rPr>
        <w:t>Synopsis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Using clean 2D animation, the film follows a single false message — “HIV can be cured by faith, stop your medicine” — as it leaves one phone and multiplies across a glowing network of WhatsApp and X icons, outrunning the slow official correction. Then the film stops the motion: a real doctor appears to name what happened and what it cost. The resolution is empowering, not shaming — three simple habits break the chain: pause, check the source, ask someone you trust. It closes by reframing sharing itself as care: the same network that spreads harm can spread truth.</w:t>
      </w:r>
    </w:p>
    <w:p>
      <w:pPr>
        <w:pStyle w:val="Heading2"/>
        <w:keepNext w:val="true"/>
        <w:spacing w:before="240" w:after="100"/>
        <w:rPr/>
      </w:pPr>
      <w:r>
        <w:rPr>
          <w:rFonts w:eastAsia="Calibri" w:cs="Calibri" w:ascii="Calibri" w:hAnsi="Calibri"/>
          <w:b/>
          <w:bCs/>
          <w:color w:val="222B42"/>
          <w:sz w:val="25"/>
          <w:szCs w:val="25"/>
        </w:rPr>
        <w:t>Treatment</w:t>
      </w:r>
    </w:p>
    <w:p>
      <w:pPr>
        <w:pStyle w:val="Normal"/>
        <w:spacing w:lineRule="exact" w:line="268" w:before="0" w:after="120"/>
        <w:rPr/>
      </w:pPr>
      <w:r>
        <w:rPr>
          <w:rFonts w:eastAsia="Calibri" w:cs="Calibri"/>
          <w:color w:val="2C3340"/>
          <w:sz w:val="21"/>
          <w:szCs w:val="21"/>
        </w:rPr>
        <w:t>Animation is the right tool because it lets us show the mechanics of disinformation — speed, scale, reach — without filming real misinformation, real victims, or naming individuals in a way that amplifies harm. A restrained palette (navy and gold with a single alarm-red) keeps it credible, not cartoonish; one short live-action clinician insert grounds it in real authority. The correction follows the evidence-based structure: lead with the fact, state the myth once, name the manipulation, repeat the fact.</w:t>
      </w:r>
      <w:r>
        <w:rPr>
          <w:rFonts w:eastAsia="Calibri" w:cs="Calibri"/>
          <w:b/>
          <w:bCs/>
          <w:color w:val="A8863F"/>
          <w:sz w:val="13"/>
          <w:szCs w:val="13"/>
          <w:vertAlign w:val="superscript"/>
        </w:rPr>
        <w:t xml:space="preserve"> [7]</w:t>
      </w:r>
    </w:p>
    <w:p>
      <w:pPr>
        <w:pStyle w:val="Heading2"/>
        <w:keepNext w:val="true"/>
        <w:spacing w:before="240" w:after="100"/>
        <w:rPr/>
      </w:pPr>
      <w:r>
        <w:rPr>
          <w:rFonts w:eastAsia="Calibri" w:cs="Calibri" w:ascii="Calibri" w:hAnsi="Calibri"/>
          <w:b/>
          <w:bCs/>
          <w:color w:val="222B42"/>
          <w:sz w:val="25"/>
          <w:szCs w:val="25"/>
        </w:rPr>
        <w:t>Full shooting script</w:t>
      </w:r>
    </w:p>
    <w:tbl>
      <w:tblPr>
        <w:tblW w:w="9360" w:type="dxa"/>
        <w:jc w:val="left"/>
        <w:tblInd w:w="0" w:type="dxa"/>
        <w:tblLayout w:type="fixed"/>
        <w:tblCellMar>
          <w:top w:w="70" w:type="dxa"/>
          <w:left w:w="110" w:type="dxa"/>
          <w:bottom w:w="70" w:type="dxa"/>
          <w:right w:w="110" w:type="dxa"/>
        </w:tblCellMar>
      </w:tblPr>
      <w:tblGrid>
        <w:gridCol w:w="619"/>
        <w:gridCol w:w="4300"/>
        <w:gridCol w:w="4441"/>
      </w:tblGrid>
      <w:tr>
        <w:trPr>
          <w:tblHeader w:val="true"/>
        </w:trPr>
        <w:tc>
          <w:tcPr>
            <w:tcW w:w="61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w:t>
            </w:r>
          </w:p>
        </w:tc>
        <w:tc>
          <w:tcPr>
            <w:tcW w:w="43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VISUAL / ON-SCREEN / DIRECTION</w:t>
            </w:r>
          </w:p>
        </w:tc>
        <w:tc>
          <w:tcPr>
            <w:tcW w:w="444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AUDIO — VO / DIALOGUE / SFX / MUSIC</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1</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Animation: a single phone glows — Uncle Silas’s hand, forwarding to the “Achieng Family” group. A red message bubble appears with a whisper-pop.</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It starts with one message.</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It starts with one message — forwarded by someone who loves you. It sounds urgent. It sounds like it’s trying to help.</w:t>
            </w:r>
          </w:p>
          <w:p>
            <w:pPr>
              <w:pStyle w:val="Normal"/>
              <w:spacing w:lineRule="exact" w:line="248" w:before="0" w:after="0"/>
              <w:rPr/>
            </w:pPr>
            <w:r>
              <w:rPr>
                <w:rFonts w:eastAsia="Calibri" w:cs="Calibri"/>
                <w:i/>
                <w:iCs/>
                <w:color w:val="8892B0"/>
                <w:sz w:val="16"/>
                <w:szCs w:val="16"/>
              </w:rPr>
              <w:t>SFX: single notification tone. Music: low pulse.</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2</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The red bubble duplicates — 2, 4, 16 — spreading across WhatsApp and X icons lighting up a map of Kenya.</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“HIV can be cured by faith. Stop your medicine.”</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“HIV can be cured through faith — stop your medicine.” It’s false. But it’s moving fast.</w:t>
            </w:r>
          </w:p>
          <w:p>
            <w:pPr>
              <w:pStyle w:val="Normal"/>
              <w:spacing w:lineRule="exact" w:line="248" w:before="0" w:after="0"/>
              <w:rPr/>
            </w:pPr>
            <w:r>
              <w:rPr>
                <w:rFonts w:eastAsia="Calibri" w:cs="Calibri"/>
                <w:i/>
                <w:iCs/>
                <w:color w:val="8892B0"/>
                <w:sz w:val="16"/>
                <w:szCs w:val="16"/>
              </w:rPr>
              <w:t>SFX: rising cascade of pops. Tempo accelerates.</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3</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Counter ticks up rapidly: 1,000 → 100,000 → 16,800,000. The map floods with red.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16.8 million people. In 8 weeks.</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In just eight weeks, it reached almost seventeen million people.</w:t>
            </w:r>
          </w:p>
          <w:p>
            <w:pPr>
              <w:pStyle w:val="Normal"/>
              <w:spacing w:lineRule="exact" w:line="248" w:before="0" w:after="0"/>
              <w:rPr/>
            </w:pPr>
            <w:r>
              <w:rPr>
                <w:rFonts w:eastAsia="Calibri" w:cs="Calibri"/>
                <w:i/>
                <w:iCs/>
                <w:color w:val="8892B0"/>
                <w:sz w:val="16"/>
                <w:szCs w:val="16"/>
              </w:rPr>
              <w:t>Music tension peaks.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4</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A small, slow grey “official correction” icon crawls in far behind the red wave.</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The correction came weeks too late.</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The correction came weeks later. By then, some people had already stopped their treatment.</w:t>
            </w:r>
          </w:p>
          <w:p>
            <w:pPr>
              <w:pStyle w:val="Normal"/>
              <w:spacing w:lineRule="exact" w:line="248" w:before="0" w:after="0"/>
              <w:rPr/>
            </w:pPr>
            <w:r>
              <w:rPr>
                <w:rFonts w:eastAsia="Calibri" w:cs="Calibri"/>
                <w:i/>
                <w:iCs/>
                <w:color w:val="8892B0"/>
                <w:sz w:val="16"/>
                <w:szCs w:val="16"/>
              </w:rPr>
              <w:t>Music drops out — sudden quiet.</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5</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Freeze-frame. Cut to live action: Nurse Wanjiru, calm, direct to camera.</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Nurse Wanjiru, Clinical Officer</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NURSE WANJIRU: There is no faith cure or herbal cure for HIV. ARVs keep people healthy and alive. Please — never stop your treatment.</w:t>
            </w:r>
          </w:p>
          <w:p>
            <w:pPr>
              <w:pStyle w:val="Normal"/>
              <w:spacing w:lineRule="exact" w:line="248" w:before="0" w:after="0"/>
              <w:rPr/>
            </w:pPr>
            <w:r>
              <w:rPr>
                <w:rFonts w:eastAsia="Calibri" w:cs="Calibri"/>
                <w:i/>
                <w:iCs/>
                <w:color w:val="8892B0"/>
                <w:sz w:val="16"/>
                <w:szCs w:val="16"/>
              </w:rPr>
              <w:t>Live-action insert. Sincere delivery — the same Wanjiru from the toolkit and podcast.</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6</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Back to animation. Screen resets to calm navy. Three icons appear: pause, magnifying glass, two people talking.</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Before you share: Pause. Check. Ask.</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So before you forward that message — three things. Pause. Check where it came from. And ask someone you trust.</w:t>
            </w:r>
          </w:p>
          <w:p>
            <w:pPr>
              <w:pStyle w:val="Normal"/>
              <w:spacing w:lineRule="exact" w:line="248" w:before="0" w:after="0"/>
              <w:rPr/>
            </w:pPr>
            <w:r>
              <w:rPr>
                <w:rFonts w:eastAsia="Calibri" w:cs="Calibri"/>
                <w:i/>
                <w:iCs/>
                <w:color w:val="8892B0"/>
                <w:sz w:val="16"/>
                <w:szCs w:val="16"/>
              </w:rPr>
              <w:t>Music: gentle, hopeful motif.</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7</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The red bubbles turn gold one by one as they pass through the three icons.</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The same network that spreads fear can spread truth.</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The same network that spreads fear… can spread truth. That part is up to us.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8</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Gold messages now fill the map — warm, not alarming.</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Sharing carefully is how we protect the people we love.</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Sharing carefully isn’t small. It’s how we protect the people we love.</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9</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ImaarishaSRHR end-card.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ImaarishaSRHR · #AmplifyChange · imaarishasrhr.org</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(no VO) — musical button.</w:t>
            </w:r>
          </w:p>
          <w:p>
            <w:pPr>
              <w:pStyle w:val="Normal"/>
              <w:spacing w:lineRule="exact" w:line="248" w:before="0" w:after="0"/>
              <w:rPr/>
            </w:pPr>
            <w:r>
              <w:rPr>
                <w:rFonts w:eastAsia="Calibri" w:cs="Calibri"/>
                <w:i/>
                <w:iCs/>
                <w:color w:val="8892B0"/>
                <w:sz w:val="16"/>
                <w:szCs w:val="16"/>
              </w:rPr>
              <w:t>Consistent CTA card.</w:t>
            </w:r>
          </w:p>
        </w:tc>
      </w:tr>
    </w:tbl>
    <w:p>
      <w:pPr>
        <w:pStyle w:val="Normal"/>
        <w:spacing w:before="0" w:after="120"/>
        <w:rPr/>
      </w:pPr>
      <w:r>
        <w:rPr/>
      </w:r>
    </w:p>
    <w:p>
      <w:pPr>
        <w:pStyle w:val="Heading3"/>
        <w:keepNext w:val="true"/>
        <w:spacing w:before="180" w:after="70"/>
        <w:rPr/>
      </w:pPr>
      <w:r>
        <w:rPr>
          <w:rFonts w:eastAsia="Calibri" w:cs="Calibri" w:ascii="Calibri" w:hAnsi="Calibri"/>
          <w:b/>
          <w:bCs/>
          <w:color w:val="A8863F"/>
          <w:sz w:val="22"/>
          <w:szCs w:val="22"/>
        </w:rPr>
        <w:t>Production notes</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Never reproduce a real misinformation graphic verbatim or name a living individual — reference the pattern, not the person.</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Use a real, named clinician for the insert (71% trust health workers).</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This is the most WhatsApp-shareable film — cut a 30-second version ending on “Pause. Check. Ask.”</w:t>
      </w:r>
    </w:p>
    <w:p>
      <w:pPr>
        <w:pStyle w:val="Normal"/>
        <w:spacing w:before="0" w:after="80"/>
        <w:rPr/>
      </w:pPr>
      <w:r>
        <w:rPr/>
      </w:r>
      <w:r>
        <w:br w:type="page"/>
      </w:r>
    </w:p>
    <w:p>
      <w:pPr>
        <w:pStyle w:val="Normal"/>
        <w:keepNext w:val="true"/>
        <w:spacing w:before="0" w:after="40"/>
        <w:rPr/>
      </w:pPr>
      <w:r>
        <w:rPr>
          <w:rFonts w:eastAsia="Calibri" w:cs="Calibri"/>
          <w:b/>
          <w:bCs/>
          <w:color w:val="C6A15B"/>
          <w:spacing w:val="30"/>
          <w:sz w:val="16"/>
          <w:szCs w:val="16"/>
        </w:rPr>
        <w:t>VIDEO 3</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3  </w:t>
      </w:r>
      <w:r>
        <w:rPr>
          <w:rFonts w:eastAsia="Calibri" w:cs="Calibri" w:ascii="Calibri" w:hAnsi="Calibri"/>
          <w:b/>
          <w:bCs/>
          <w:color w:val="111827"/>
          <w:sz w:val="30"/>
          <w:szCs w:val="30"/>
        </w:rPr>
        <w:t>SRHR Myths &amp; Facts</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Logline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The warning came from someone who loves you. But love can carry a myth. Here are the facts.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80–100 seconds (or a series of 30s single-myth cutdowns)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Format</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Doctor-to-camera + bold split-screen “Myth / Fact” overlays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Audience</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Women 18–35 and partners; also designed for older women (Mother &amp; Aunty)</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Values frame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Honouring the loving intention behind a warning while correcting the information</w:t>
            </w:r>
          </w:p>
        </w:tc>
      </w:tr>
    </w:tbl>
    <w:p>
      <w:pPr>
        <w:pStyle w:val="Normal"/>
        <w:spacing w:lineRule="exact" w:line="268" w:before="0" w:after="120"/>
        <w:rPr/>
      </w:pPr>
      <w:r>
        <w:rPr>
          <w:rFonts w:eastAsia="Calibri" w:cs="Calibri"/>
          <w:b/>
          <w:bCs/>
          <w:i w:val="false"/>
          <w:iCs w:val="false"/>
          <w:color w:val="A8863F"/>
          <w:sz w:val="21"/>
          <w:szCs w:val="21"/>
        </w:rPr>
        <w:t xml:space="preserve">Evidence anchor. </w:t>
      </w:r>
      <w:r>
        <w:rPr>
          <w:rFonts w:eastAsia="Calibri" w:cs="Calibri"/>
          <w:b w:val="false"/>
          <w:bCs w:val="false"/>
          <w:i w:val="false"/>
          <w:iCs w:val="false"/>
          <w:color w:val="2C3340"/>
          <w:sz w:val="21"/>
          <w:szCs w:val="21"/>
        </w:rPr>
        <w:t>47% of Kenyans believe contraception can cause infertility, and these myths travel through mothers and aunties as love (Toolkit Module 4). The film honours the intent, then corrects with clinician authority — never mocking the messenger.</w:t>
      </w:r>
      <w:r>
        <w:rPr>
          <w:rFonts w:eastAsia="Calibri" w:cs="Calibri"/>
          <w:b/>
          <w:bCs/>
          <w:color w:val="A8863F"/>
          <w:sz w:val="13"/>
          <w:szCs w:val="13"/>
          <w:vertAlign w:val="superscript"/>
        </w:rPr>
        <w:t xml:space="preserve"> [2,8]</w:t>
      </w:r>
    </w:p>
    <w:p>
      <w:pPr>
        <w:pStyle w:val="Heading2"/>
        <w:keepNext w:val="true"/>
        <w:spacing w:before="240" w:after="100"/>
        <w:rPr/>
      </w:pPr>
      <w:r>
        <w:rPr>
          <w:rFonts w:eastAsia="Calibri" w:cs="Calibri" w:ascii="Calibri" w:hAnsi="Calibri"/>
          <w:b/>
          <w:bCs/>
          <w:color w:val="222B42"/>
          <w:sz w:val="25"/>
          <w:szCs w:val="25"/>
        </w:rPr>
        <w:t>Synopsis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A trusted healthcare professional speaks directly to camera, opening with empathy: many of the warnings we hear came from people who love us — a mother, an aunt, a mother-in-law — passing on what they believed was true. The film then answers the three or four most common contraceptive myths, each with a calm, clear fact, using a bold split-screen that puts “Myth” beside “Fact.” It never ridicules the myth or the messenger, and it closes by giving the viewer permission and language to ask their own questions — turning a moment of fear into a moment of agency.</w:t>
      </w:r>
    </w:p>
    <w:p>
      <w:pPr>
        <w:pStyle w:val="Heading2"/>
        <w:keepNext w:val="true"/>
        <w:spacing w:before="240" w:after="100"/>
        <w:rPr/>
      </w:pPr>
      <w:r>
        <w:rPr>
          <w:rFonts w:eastAsia="Calibri" w:cs="Calibri" w:ascii="Calibri" w:hAnsi="Calibri"/>
          <w:b/>
          <w:bCs/>
          <w:color w:val="222B42"/>
          <w:sz w:val="25"/>
          <w:szCs w:val="25"/>
        </w:rPr>
        <w:t>Treatment</w:t>
      </w:r>
    </w:p>
    <w:p>
      <w:pPr>
        <w:pStyle w:val="Normal"/>
        <w:spacing w:lineRule="exact" w:line="268" w:before="0" w:after="120"/>
        <w:rPr/>
      </w:pPr>
      <w:r>
        <w:rPr>
          <w:rFonts w:eastAsia="Calibri" w:cs="Calibri"/>
          <w:color w:val="2C3340"/>
          <w:sz w:val="21"/>
          <w:szCs w:val="21"/>
        </w:rPr>
        <w:t>Credibility is everything, so a real, named clinician anchors the film. Each myth/fact pair is designed as a self-contained, screenshot-shareable graphic, so the shoot yields both one long video and several 30-second single-myth cutdowns. The structure follows the debunking evidence — fact first, myth once, correction with a causal alternative — and the empathy framing follows the grandmother/older-women evidence: never attack the loving messenger.</w:t>
      </w:r>
      <w:r>
        <w:rPr>
          <w:rFonts w:eastAsia="Calibri" w:cs="Calibri"/>
          <w:b/>
          <w:bCs/>
          <w:color w:val="A8863F"/>
          <w:sz w:val="13"/>
          <w:szCs w:val="13"/>
          <w:vertAlign w:val="superscript"/>
        </w:rPr>
        <w:t xml:space="preserve"> [7,8]</w:t>
      </w:r>
    </w:p>
    <w:p>
      <w:pPr>
        <w:pStyle w:val="Heading2"/>
        <w:keepNext w:val="true"/>
        <w:spacing w:before="240" w:after="100"/>
        <w:rPr/>
      </w:pPr>
      <w:r>
        <w:rPr>
          <w:rFonts w:eastAsia="Calibri" w:cs="Calibri" w:ascii="Calibri" w:hAnsi="Calibri"/>
          <w:b/>
          <w:bCs/>
          <w:color w:val="222B42"/>
          <w:sz w:val="25"/>
          <w:szCs w:val="25"/>
        </w:rPr>
        <w:t>Full shooting script</w:t>
      </w:r>
    </w:p>
    <w:tbl>
      <w:tblPr>
        <w:tblW w:w="9360" w:type="dxa"/>
        <w:jc w:val="left"/>
        <w:tblInd w:w="0" w:type="dxa"/>
        <w:tblLayout w:type="fixed"/>
        <w:tblCellMar>
          <w:top w:w="70" w:type="dxa"/>
          <w:left w:w="110" w:type="dxa"/>
          <w:bottom w:w="70" w:type="dxa"/>
          <w:right w:w="110" w:type="dxa"/>
        </w:tblCellMar>
      </w:tblPr>
      <w:tblGrid>
        <w:gridCol w:w="619"/>
        <w:gridCol w:w="4300"/>
        <w:gridCol w:w="4441"/>
      </w:tblGrid>
      <w:tr>
        <w:trPr>
          <w:tblHeader w:val="true"/>
        </w:trPr>
        <w:tc>
          <w:tcPr>
            <w:tcW w:w="61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w:t>
            </w:r>
          </w:p>
        </w:tc>
        <w:tc>
          <w:tcPr>
            <w:tcW w:w="43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VISUAL / ON-SCREEN / DIRECTION</w:t>
            </w:r>
          </w:p>
        </w:tc>
        <w:tc>
          <w:tcPr>
            <w:tcW w:w="444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AUDIO — VO / DIALOGUE / SFX / MUSIC</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1</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Doctor to camera, warm, seated. Soft depth of field.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Nurse Wanjiru, Clinical Officer</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NURSE WANJIRU: Some of the warnings we hear about family planning came from people who love us. A mother. An aunt — someone like Aunty Beth. They were protecting us — with what they believed was true.</w:t>
            </w:r>
          </w:p>
          <w:p>
            <w:pPr>
              <w:pStyle w:val="Normal"/>
              <w:spacing w:lineRule="exact" w:line="248" w:before="0" w:after="0"/>
              <w:rPr/>
            </w:pPr>
            <w:r>
              <w:rPr>
                <w:rFonts w:eastAsia="Calibri" w:cs="Calibri"/>
                <w:i/>
                <w:iCs/>
                <w:color w:val="8892B0"/>
                <w:sz w:val="16"/>
                <w:szCs w:val="16"/>
              </w:rPr>
              <w:t>Music: gentle, trustworthy. Wanjiru is the recurring clinician across all three toolkits.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2</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Split-screen builds: left red “MYTH”, right green “FACT”.</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MYTH: “Family planning makes you barren.”</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NURSE WANJIRU: So let’s look, together. The first one: that family planning makes you barren.</w:t>
            </w:r>
          </w:p>
          <w:p>
            <w:pPr>
              <w:pStyle w:val="Normal"/>
              <w:spacing w:lineRule="exact" w:line="248" w:before="0" w:after="0"/>
              <w:rPr/>
            </w:pPr>
            <w:r>
              <w:rPr>
                <w:rFonts w:eastAsia="Calibri" w:cs="Calibri"/>
                <w:i/>
                <w:iCs/>
                <w:color w:val="8892B0"/>
                <w:sz w:val="16"/>
                <w:szCs w:val="16"/>
              </w:rPr>
              <w:t>SFX: soft graphic whoosh.</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3</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Right panel fills as she speaks.</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FACT: Modern contraception does not cause infertility. Fertility returns after you stop.</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NURSE WANJIRU: It does not. Modern contraception does not cause infertility. When you decide to have children, your fertility returns.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4</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New split-screen pair.</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MYTH: “The pill damages your womb.”</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NURSE WANJIRU: Next: that the pill damages your womb.</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5</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Right panel fills.</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FACT: The pill is safe and well-studied. Side effects can be managed by switching methods.</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NURSE WANJIRU: The pill is one of the most studied medicines in the world. If a method doesn’t suit you, we simply find one that does.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6</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New split-screen pair.</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MYTH: “Using contraception means you plan to be unfaithful.”</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NURSE WANJIRU: And this one, which hurts many homes: that using contraception means a woman plans to cheat.</w:t>
            </w:r>
          </w:p>
          <w:p>
            <w:pPr>
              <w:pStyle w:val="Normal"/>
              <w:spacing w:lineRule="exact" w:line="248" w:before="0" w:after="0"/>
              <w:rPr/>
            </w:pPr>
            <w:r>
              <w:rPr>
                <w:rFonts w:eastAsia="Calibri" w:cs="Calibri"/>
                <w:i/>
                <w:iCs/>
                <w:color w:val="8892B0"/>
                <w:sz w:val="16"/>
                <w:szCs w:val="16"/>
              </w:rPr>
              <w:t>Tone softens.</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7</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Right panel fills.</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FACT: Planning your family together is what respectful partners do.</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NURSE WANJIRU: No. Planning your family together is what caring, respectful partners do. It protects the whole family.</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8</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Return to doctor, full frame, warm.</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You’re allowed to ask.</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NURSE WANJIRU: If someone you love gave you a warning, they meant well. But you are allowed to check. You are allowed to ask me, or any health worker, your own questions.</w:t>
            </w:r>
          </w:p>
          <w:p>
            <w:pPr>
              <w:pStyle w:val="Normal"/>
              <w:spacing w:lineRule="exact" w:line="248" w:before="0" w:after="0"/>
              <w:rPr/>
            </w:pPr>
            <w:r>
              <w:rPr>
                <w:rFonts w:eastAsia="Calibri" w:cs="Calibri"/>
                <w:i/>
                <w:iCs/>
                <w:color w:val="8892B0"/>
                <w:sz w:val="16"/>
                <w:szCs w:val="16"/>
              </w:rPr>
              <w:t>Music lifts.</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9</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End line, then CTA.</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Ask. Choose. Decide — for your health.</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NURSE WANJIRU: Your body. Your health. Your decision — with the facts.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10</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ImaarishaSRHR end-card.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ImaarishaSRHR · #AmplifyChange · imaarishasrhr.org</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(no VO) — musical button.</w:t>
            </w:r>
          </w:p>
          <w:p>
            <w:pPr>
              <w:pStyle w:val="Normal"/>
              <w:spacing w:lineRule="exact" w:line="248" w:before="0" w:after="0"/>
              <w:rPr/>
            </w:pPr>
            <w:r>
              <w:rPr>
                <w:rFonts w:eastAsia="Calibri" w:cs="Calibri"/>
                <w:i/>
                <w:iCs/>
                <w:color w:val="8892B0"/>
                <w:sz w:val="16"/>
                <w:szCs w:val="16"/>
              </w:rPr>
              <w:t>Consistent CTA card.</w:t>
            </w:r>
          </w:p>
        </w:tc>
      </w:tr>
    </w:tbl>
    <w:p>
      <w:pPr>
        <w:pStyle w:val="Normal"/>
        <w:spacing w:before="0" w:after="120"/>
        <w:rPr/>
      </w:pPr>
      <w:r>
        <w:rPr/>
      </w:r>
    </w:p>
    <w:p>
      <w:pPr>
        <w:pStyle w:val="Heading3"/>
        <w:keepNext w:val="true"/>
        <w:spacing w:before="180" w:after="70"/>
        <w:rPr/>
      </w:pPr>
      <w:r>
        <w:rPr>
          <w:rFonts w:eastAsia="Calibri" w:cs="Calibri" w:ascii="Calibri" w:hAnsi="Calibri"/>
          <w:b/>
          <w:bCs/>
          <w:color w:val="A8863F"/>
          <w:sz w:val="22"/>
          <w:szCs w:val="22"/>
        </w:rPr>
        <w:t>Production notes</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Use a real, named healthcare professional and show their credential on screen — the credential is the credibility.</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Design every Myth/Fact frame to stand alone as a shareable image and a 30-second cutdown.</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Never mock the myth or caricature older women — honour the loving intent (Toolkit Module 4).</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Produce Kiswahili and Sheng versions; the Kiswahili/WhatsApp cut is aimed at older women.</w:t>
      </w:r>
    </w:p>
    <w:p>
      <w:pPr>
        <w:pStyle w:val="Normal"/>
        <w:spacing w:before="0" w:after="80"/>
        <w:rPr/>
      </w:pPr>
      <w:r>
        <w:rPr/>
      </w:r>
      <w:r>
        <w:br w:type="page"/>
      </w:r>
    </w:p>
    <w:p>
      <w:pPr>
        <w:pStyle w:val="Normal"/>
        <w:keepNext w:val="true"/>
        <w:spacing w:before="0" w:after="40"/>
        <w:rPr/>
      </w:pPr>
      <w:r>
        <w:rPr>
          <w:rFonts w:eastAsia="Calibri" w:cs="Calibri"/>
          <w:b/>
          <w:bCs/>
          <w:color w:val="C6A15B"/>
          <w:spacing w:val="30"/>
          <w:sz w:val="16"/>
          <w:szCs w:val="16"/>
        </w:rPr>
        <w:t>VIDEO 4</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4  </w:t>
      </w:r>
      <w:r>
        <w:rPr>
          <w:rFonts w:eastAsia="Calibri" w:cs="Calibri" w:ascii="Calibri" w:hAnsi="Calibri"/>
          <w:b/>
          <w:bCs/>
          <w:color w:val="111827"/>
          <w:sz w:val="30"/>
          <w:szCs w:val="30"/>
        </w:rPr>
        <w:t>Latest Developments on SRHR</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Logline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Where does SRHR in Kenya actually stand today — honestly, and with reasons for hope?</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90–120 seconds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Format</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Documentary B-roll + animated data / motion graphics + subtitles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Audience</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Engaged public, partners, community leaders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Values frame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Progress is real and shared; change is happening and you are part of it</w:t>
            </w:r>
          </w:p>
        </w:tc>
      </w:tr>
    </w:tbl>
    <w:p>
      <w:pPr>
        <w:pStyle w:val="Normal"/>
        <w:spacing w:lineRule="exact" w:line="268" w:before="0" w:after="120"/>
        <w:rPr/>
      </w:pPr>
      <w:r>
        <w:rPr>
          <w:rFonts w:eastAsia="Calibri" w:cs="Calibri"/>
          <w:b/>
          <w:bCs/>
          <w:i w:val="false"/>
          <w:iCs w:val="false"/>
          <w:color w:val="A8863F"/>
          <w:sz w:val="21"/>
          <w:szCs w:val="21"/>
        </w:rPr>
        <w:t xml:space="preserve">Evidence anchor. </w:t>
      </w:r>
      <w:r>
        <w:rPr>
          <w:rFonts w:eastAsia="Calibri" w:cs="Calibri"/>
          <w:b w:val="false"/>
          <w:bCs w:val="false"/>
          <w:i w:val="false"/>
          <w:iCs w:val="false"/>
          <w:color w:val="2C3340"/>
          <w:sz w:val="21"/>
          <w:szCs w:val="21"/>
        </w:rPr>
        <w:t>Rights exist on paper (Article 43) but barriers live in practice; the honest bright spots are documented — the national CHP programme, faith-led FP reaching hundreds of thousands, clinicians reclaiming the feed. Honesty about mixed results (e.g. DREAMS) keeps the film credible.</w:t>
      </w:r>
      <w:r>
        <w:rPr>
          <w:rFonts w:eastAsia="Calibri" w:cs="Calibri"/>
          <w:b/>
          <w:bCs/>
          <w:color w:val="A8863F"/>
          <w:sz w:val="13"/>
          <w:szCs w:val="13"/>
          <w:vertAlign w:val="superscript"/>
        </w:rPr>
        <w:t xml:space="preserve"> [1,12,13]</w:t>
      </w:r>
    </w:p>
    <w:p>
      <w:pPr>
        <w:pStyle w:val="Heading2"/>
        <w:keepNext w:val="true"/>
        <w:spacing w:before="240" w:after="100"/>
        <w:rPr/>
      </w:pPr>
      <w:r>
        <w:rPr>
          <w:rFonts w:eastAsia="Calibri" w:cs="Calibri" w:ascii="Calibri" w:hAnsi="Calibri"/>
          <w:b/>
          <w:bCs/>
          <w:color w:val="222B42"/>
          <w:sz w:val="25"/>
          <w:szCs w:val="25"/>
        </w:rPr>
        <w:t>Synopsis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The “state of play” film. It acknowledges the hard truths honestly — rights on paper, barriers in practice — then pivots firmly to what is genuinely working: community health promoters reaching millions of households, mobile outreach lifting uptake, doctors and survivors reshaping the online conversation, young people creating SRHR content in Sheng. Real documentary footage grounds each development; clean animated data points make the change legible. It ends by placing the viewer inside the story: these developments are being made by Kenyans — including the person watching.</w:t>
      </w:r>
    </w:p>
    <w:p>
      <w:pPr>
        <w:pStyle w:val="Heading2"/>
        <w:keepNext w:val="true"/>
        <w:spacing w:before="240" w:after="100"/>
        <w:rPr/>
      </w:pPr>
      <w:r>
        <w:rPr>
          <w:rFonts w:eastAsia="Calibri" w:cs="Calibri" w:ascii="Calibri" w:hAnsi="Calibri"/>
          <w:b/>
          <w:bCs/>
          <w:color w:val="222B42"/>
          <w:sz w:val="25"/>
          <w:szCs w:val="25"/>
        </w:rPr>
        <w:t>Treatment</w:t>
      </w:r>
    </w:p>
    <w:p>
      <w:pPr>
        <w:pStyle w:val="Normal"/>
        <w:spacing w:lineRule="exact" w:line="268" w:before="0" w:after="120"/>
        <w:rPr/>
      </w:pPr>
      <w:r>
        <w:rPr>
          <w:rFonts w:eastAsia="Calibri" w:cs="Calibri"/>
          <w:color w:val="2C3340"/>
          <w:sz w:val="21"/>
          <w:szCs w:val="21"/>
        </w:rPr>
        <w:t>Documentary texture gives this film an authority animation could not. Animated data overlays translate progress into a few memorable numbers without turning it into a report. Because “latest developments” dates quickly, structure the film so the middle section can be re-versioned periodically while the opening and closing stay evergreen — protecting the production investment.</w:t>
      </w:r>
      <w:r>
        <w:rPr>
          <w:rFonts w:eastAsia="Calibri" w:cs="Calibri"/>
          <w:b/>
          <w:bCs/>
          <w:color w:val="A8863F"/>
          <w:sz w:val="13"/>
          <w:szCs w:val="13"/>
          <w:vertAlign w:val="superscript"/>
        </w:rPr>
        <w:t xml:space="preserve"> [1]</w:t>
      </w:r>
    </w:p>
    <w:p>
      <w:pPr>
        <w:pStyle w:val="Heading2"/>
        <w:keepNext w:val="true"/>
        <w:spacing w:before="240" w:after="100"/>
        <w:rPr/>
      </w:pPr>
      <w:r>
        <w:rPr>
          <w:rFonts w:eastAsia="Calibri" w:cs="Calibri" w:ascii="Calibri" w:hAnsi="Calibri"/>
          <w:b/>
          <w:bCs/>
          <w:color w:val="222B42"/>
          <w:sz w:val="25"/>
          <w:szCs w:val="25"/>
        </w:rPr>
        <w:t>Full shooting script</w:t>
      </w:r>
    </w:p>
    <w:tbl>
      <w:tblPr>
        <w:tblW w:w="9360" w:type="dxa"/>
        <w:jc w:val="left"/>
        <w:tblInd w:w="0" w:type="dxa"/>
        <w:tblLayout w:type="fixed"/>
        <w:tblCellMar>
          <w:top w:w="70" w:type="dxa"/>
          <w:left w:w="110" w:type="dxa"/>
          <w:bottom w:w="70" w:type="dxa"/>
          <w:right w:w="110" w:type="dxa"/>
        </w:tblCellMar>
      </w:tblPr>
      <w:tblGrid>
        <w:gridCol w:w="619"/>
        <w:gridCol w:w="4300"/>
        <w:gridCol w:w="4441"/>
      </w:tblGrid>
      <w:tr>
        <w:trPr>
          <w:tblHeader w:val="true"/>
        </w:trPr>
        <w:tc>
          <w:tcPr>
            <w:tcW w:w="61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w:t>
            </w:r>
          </w:p>
        </w:tc>
        <w:tc>
          <w:tcPr>
            <w:tcW w:w="43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VISUAL / ON-SCREEN / DIRECTION</w:t>
            </w:r>
          </w:p>
        </w:tc>
        <w:tc>
          <w:tcPr>
            <w:tcW w:w="444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AUDIO — VO / DIALOGUE / SFX / MUSIC</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1</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Wide, dignified B-roll of Kenyan life — city and rural. Cinematic.</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SRHR in Kenya, today.</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Kenya guarantees every citizen the right to the highest standard of health — including reproductive health. That’s the law.</w:t>
            </w:r>
          </w:p>
          <w:p>
            <w:pPr>
              <w:pStyle w:val="Normal"/>
              <w:spacing w:lineRule="exact" w:line="248" w:before="0" w:after="0"/>
              <w:rPr/>
            </w:pPr>
            <w:r>
              <w:rPr>
                <w:rFonts w:eastAsia="Calibri" w:cs="Calibri"/>
                <w:i/>
                <w:iCs/>
                <w:color w:val="8892B0"/>
                <w:sz w:val="16"/>
                <w:szCs w:val="16"/>
              </w:rPr>
              <w:t>Music: reflective, building.</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2</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Contrast: a woman looks toward a clinic, hesitates. Animated line: “on paper vs in practice.”</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The rights are on paper. The barriers are in practice.</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But rights on paper don’t always reach real lives. For many, judgment, distance and old fears still stand in the way.</w:t>
            </w:r>
          </w:p>
          <w:p>
            <w:pPr>
              <w:pStyle w:val="Normal"/>
              <w:spacing w:lineRule="exact" w:line="248" w:before="0" w:after="0"/>
              <w:rPr/>
            </w:pPr>
            <w:r>
              <w:rPr>
                <w:rFonts w:eastAsia="Calibri" w:cs="Calibri"/>
                <w:i/>
                <w:iCs/>
                <w:color w:val="8892B0"/>
                <w:sz w:val="16"/>
                <w:szCs w:val="16"/>
              </w:rPr>
              <w:t>Honest, not despairing.</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3</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Turn: warm B-roll of a community health promoter greeted at a doorstep.</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But something is shifting.</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And yet — something is shifting. Quietly, powerfully, across the country.</w:t>
            </w:r>
          </w:p>
          <w:p>
            <w:pPr>
              <w:pStyle w:val="Normal"/>
              <w:spacing w:lineRule="exact" w:line="248" w:before="0" w:after="0"/>
              <w:rPr/>
            </w:pPr>
            <w:r>
              <w:rPr>
                <w:rFonts w:eastAsia="Calibri" w:cs="Calibri"/>
                <w:i/>
                <w:iCs/>
                <w:color w:val="8892B0"/>
                <w:sz w:val="16"/>
                <w:szCs w:val="16"/>
              </w:rPr>
              <w:t>Music turns hopeful.</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4</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CHP walking between homes; animated stat rises.</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100,000+ Community Health Promoters, nationwide.</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Over a hundred thousand community health promoters now carry accurate information to the doorstep — trusted neighbours, close to home.</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5</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Faith facility; a welcoming nurse; animated stat.</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Faith-led family planning: 675,000 reached.</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Where faith leaders became allies, hundreds of thousands were reached with real information — proof that engagement works.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6</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Nurse Wanjiru filming a phone explainer; Kevo recording a Sheng clip. Both faces from across the ImaarishaSRHR world.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Doctors and young creators are reclaiming the conversation.</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Nurses like Wanjiru are speaking under their own names. Young people like Kevo are making SRHR content in their own language. The digital street is being reclaimed.</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7</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Brenda — who left school pregnant and came back as an advocate — speaking to a small circle who listen intently; Rev. Otieno among them, nodding.</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Real voices are outperforming fear.</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And real stories — told by the people who lived them, like Brenda — are moving communities in ways no poster ever could.</w:t>
            </w:r>
          </w:p>
          <w:p>
            <w:pPr>
              <w:pStyle w:val="Normal"/>
              <w:spacing w:lineRule="exact" w:line="248" w:before="0" w:after="0"/>
              <w:rPr/>
            </w:pPr>
            <w:r>
              <w:rPr>
                <w:rFonts w:eastAsia="Calibri" w:cs="Calibri"/>
                <w:i/>
                <w:iCs/>
                <w:color w:val="8892B0"/>
                <w:sz w:val="16"/>
                <w:szCs w:val="16"/>
              </w:rPr>
              <w:t>Music swells.</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8</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Montage of faces from the film; final settle.</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This isn’t happening to Kenya. It’s being made by Kenyans.</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These developments aren’t happening to Kenya. They’re being made by Kenyans. By all of us.</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9</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End line to CTA.</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Kenya is ready. Are we?</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Kenya is ready. The question is — are we? Respectfully. Relentlessly. Together.</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10</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ImaarishaSRHR end-card.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ImaarishaSRHR · #AmplifyChange · imaarishasrhr.org</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(no VO) — musical button.</w:t>
            </w:r>
          </w:p>
          <w:p>
            <w:pPr>
              <w:pStyle w:val="Normal"/>
              <w:spacing w:lineRule="exact" w:line="248" w:before="0" w:after="0"/>
              <w:rPr/>
            </w:pPr>
            <w:r>
              <w:rPr>
                <w:rFonts w:eastAsia="Calibri" w:cs="Calibri"/>
                <w:i/>
                <w:iCs/>
                <w:color w:val="8892B0"/>
                <w:sz w:val="16"/>
                <w:szCs w:val="16"/>
              </w:rPr>
              <w:t>Consistent CTA card.</w:t>
            </w:r>
          </w:p>
        </w:tc>
      </w:tr>
    </w:tbl>
    <w:p>
      <w:pPr>
        <w:pStyle w:val="Normal"/>
        <w:spacing w:before="0" w:after="120"/>
        <w:rPr/>
      </w:pPr>
      <w:r>
        <w:rPr/>
      </w:r>
    </w:p>
    <w:p>
      <w:pPr>
        <w:pStyle w:val="Heading3"/>
        <w:keepNext w:val="true"/>
        <w:spacing w:before="180" w:after="70"/>
        <w:rPr/>
      </w:pPr>
      <w:r>
        <w:rPr>
          <w:rFonts w:eastAsia="Calibri" w:cs="Calibri" w:ascii="Calibri" w:hAnsi="Calibri"/>
          <w:b/>
          <w:bCs/>
          <w:color w:val="A8863F"/>
          <w:sz w:val="22"/>
          <w:szCs w:val="22"/>
        </w:rPr>
        <w:t>Production notes</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Confirm every statistic and programme claim against the latest source before each release; keep the middle section re-versionable.</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Prioritise real footage of real programmes (with consent) — documentary authenticity is this film’s edge.</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Be honest where evidence is mixed; overselling erodes the trust the whole slate depends on.</w:t>
      </w:r>
    </w:p>
    <w:p>
      <w:pPr>
        <w:pStyle w:val="Normal"/>
        <w:spacing w:before="0" w:after="80"/>
        <w:rPr/>
      </w:pPr>
      <w:r>
        <w:rPr/>
      </w:r>
      <w:r>
        <w:br w:type="page"/>
      </w:r>
    </w:p>
    <w:p>
      <w:pPr>
        <w:pStyle w:val="Normal"/>
        <w:keepNext w:val="true"/>
        <w:spacing w:before="0" w:after="40"/>
        <w:rPr/>
      </w:pPr>
      <w:r>
        <w:rPr>
          <w:rFonts w:eastAsia="Calibri" w:cs="Calibri"/>
          <w:b/>
          <w:bCs/>
          <w:color w:val="C6A15B"/>
          <w:spacing w:val="30"/>
          <w:sz w:val="16"/>
          <w:szCs w:val="16"/>
        </w:rPr>
        <w:t>VIDEO 5</w:t>
      </w:r>
    </w:p>
    <w:p>
      <w:pPr>
        <w:pStyle w:val="Heading1"/>
        <w:keepNext w:val="true"/>
        <w:pBdr>
          <w:bottom w:val="single" w:sz="12" w:space="6" w:color="C6A15B"/>
        </w:pBdr>
        <w:spacing w:before="320" w:after="140"/>
        <w:rPr/>
      </w:pPr>
      <w:r>
        <w:rPr>
          <w:rFonts w:eastAsia="Calibri" w:cs="Calibri" w:ascii="Calibri" w:hAnsi="Calibri"/>
          <w:b/>
          <w:bCs/>
          <w:color w:val="C6A15B"/>
          <w:sz w:val="30"/>
          <w:szCs w:val="30"/>
        </w:rPr>
        <w:t xml:space="preserve">5  </w:t>
      </w:r>
      <w:r>
        <w:rPr>
          <w:rFonts w:eastAsia="Calibri" w:cs="Calibri" w:ascii="Calibri" w:hAnsi="Calibri"/>
          <w:b/>
          <w:bCs/>
          <w:color w:val="111827"/>
          <w:sz w:val="30"/>
          <w:szCs w:val="30"/>
        </w:rPr>
        <w:t>Where to Get Safe &amp; Accurate SRHR Information</w:t>
      </w:r>
    </w:p>
    <w:tbl>
      <w:tblPr>
        <w:tblW w:w="9360" w:type="dxa"/>
        <w:jc w:val="left"/>
        <w:tblInd w:w="0" w:type="dxa"/>
        <w:tblLayout w:type="fixed"/>
        <w:tblCellMar>
          <w:top w:w="90" w:type="dxa"/>
          <w:left w:w="130" w:type="dxa"/>
          <w:bottom w:w="90" w:type="dxa"/>
          <w:right w:w="130" w:type="dxa"/>
        </w:tblCellMar>
      </w:tblPr>
      <w:tblGrid>
        <w:gridCol w:w="2100"/>
        <w:gridCol w:w="7259"/>
      </w:tblGrid>
      <w:tr>
        <w:trPr>
          <w:tblHeader w:val="true"/>
        </w:trPr>
        <w:tc>
          <w:tcPr>
            <w:tcW w:w="2100"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Field</w:t>
            </w:r>
          </w:p>
        </w:tc>
        <w:tc>
          <w:tcPr>
            <w:tcW w:w="7259" w:type="dxa"/>
            <w:tcBorders>
              <w:top w:val="single" w:sz="4" w:space="0" w:color="D9DDE5"/>
              <w:left w:val="single" w:sz="4" w:space="0" w:color="D9DDE5"/>
              <w:bottom w:val="single" w:sz="4" w:space="0" w:color="D9DDE5"/>
              <w:right w:val="single" w:sz="4" w:space="0" w:color="D9DDE5"/>
            </w:tcBorders>
            <w:shd w:fill="222B42" w:val="clear"/>
          </w:tcPr>
          <w:p>
            <w:pPr>
              <w:pStyle w:val="Normal"/>
              <w:spacing w:lineRule="exact" w:line="252" w:before="0" w:after="0"/>
              <w:jc w:val="left"/>
              <w:rPr/>
            </w:pPr>
            <w:r>
              <w:rPr>
                <w:rFonts w:eastAsia="Calibri" w:cs="Calibri"/>
                <w:b/>
                <w:bCs/>
                <w:color w:val="FFFFFF"/>
                <w:sz w:val="19"/>
                <w:szCs w:val="19"/>
              </w:rPr>
              <w:t>Detail</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Logline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Good information exists — here’s exactly where to find it, and how to tell it apart from the noise.</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Duration</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75–90 seconds</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Format</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Live-action peer walkthrough + iconographic animation + captions</w:t>
            </w:r>
          </w:p>
        </w:tc>
      </w:tr>
      <w:tr>
        <w:trPr/>
        <w:tc>
          <w:tcPr>
            <w:tcW w:w="21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Audience</w:t>
            </w:r>
          </w:p>
        </w:tc>
        <w:tc>
          <w:tcPr>
            <w:tcW w:w="7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9"/>
                <w:szCs w:val="19"/>
              </w:rPr>
              <w:t>Youth 18–24 especially; anyone unsure who to trust</w:t>
            </w:r>
          </w:p>
        </w:tc>
      </w:tr>
      <w:tr>
        <w:trPr/>
        <w:tc>
          <w:tcPr>
            <w:tcW w:w="21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Values frame</w:t>
            </w:r>
          </w:p>
        </w:tc>
        <w:tc>
          <w:tcPr>
            <w:tcW w:w="7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9"/>
                <w:szCs w:val="19"/>
              </w:rPr>
              <w:t>You deserve real answers, from people who actually know — with dignity, no judgment</w:t>
            </w:r>
          </w:p>
        </w:tc>
      </w:tr>
    </w:tbl>
    <w:p>
      <w:pPr>
        <w:pStyle w:val="Normal"/>
        <w:spacing w:lineRule="exact" w:line="268" w:before="0" w:after="120"/>
        <w:rPr/>
      </w:pPr>
      <w:r>
        <w:rPr>
          <w:rFonts w:eastAsia="Calibri" w:cs="Calibri"/>
          <w:b/>
          <w:bCs/>
          <w:i w:val="false"/>
          <w:iCs w:val="false"/>
          <w:color w:val="A8863F"/>
          <w:sz w:val="21"/>
          <w:szCs w:val="21"/>
        </w:rPr>
        <w:t xml:space="preserve">Evidence anchor. </w:t>
      </w:r>
      <w:r>
        <w:rPr>
          <w:rFonts w:eastAsia="Calibri" w:cs="Calibri"/>
          <w:b w:val="false"/>
          <w:bCs w:val="false"/>
          <w:i w:val="false"/>
          <w:iCs w:val="false"/>
          <w:color w:val="2C3340"/>
          <w:sz w:val="21"/>
          <w:szCs w:val="21"/>
        </w:rPr>
        <w:t>62% of 18–24s get their first SRHR information from peers or social media, and a majority cannot name a nearby provider. A relatable peer guide meets that reality and upgrades it with a simple source-checking tool.</w:t>
      </w:r>
      <w:r>
        <w:rPr>
          <w:rFonts w:eastAsia="Calibri" w:cs="Calibri"/>
          <w:b/>
          <w:bCs/>
          <w:color w:val="A8863F"/>
          <w:sz w:val="13"/>
          <w:szCs w:val="13"/>
          <w:vertAlign w:val="superscript"/>
        </w:rPr>
        <w:t xml:space="preserve"> [1,3]</w:t>
      </w:r>
    </w:p>
    <w:p>
      <w:pPr>
        <w:pStyle w:val="Heading2"/>
        <w:keepNext w:val="true"/>
        <w:spacing w:before="240" w:after="100"/>
        <w:rPr/>
      </w:pPr>
      <w:r>
        <w:rPr>
          <w:rFonts w:eastAsia="Calibri" w:cs="Calibri" w:ascii="Calibri" w:hAnsi="Calibri"/>
          <w:b/>
          <w:bCs/>
          <w:color w:val="222B42"/>
          <w:sz w:val="25"/>
          <w:szCs w:val="25"/>
        </w:rPr>
        <w:t>Synopsis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A relatable young peer guide takes the viewer on a quick, practical tour: not everything online is equal, so here’s how to find the good stuff. Iconographic animation lays out the trusted sources — a healthcare worker or clinic, verified health professionals online, ImaarishaSRHR’s channels, community health promoters — and a simple three-question test for judging any source: Who is saying it? Are they qualified? Do trusted sources agree? It ends by removing the last barrier — reassuring the viewer that asking is normal and services are confidential and judgment-free — and points to a concrete next step.</w:t>
      </w:r>
    </w:p>
    <w:p>
      <w:pPr>
        <w:pStyle w:val="Heading2"/>
        <w:keepNext w:val="true"/>
        <w:spacing w:before="240" w:after="100"/>
        <w:rPr/>
      </w:pPr>
      <w:r>
        <w:rPr>
          <w:rFonts w:eastAsia="Calibri" w:cs="Calibri" w:ascii="Calibri" w:hAnsi="Calibri"/>
          <w:b/>
          <w:bCs/>
          <w:color w:val="222B42"/>
          <w:sz w:val="25"/>
          <w:szCs w:val="25"/>
        </w:rPr>
        <w:t>Treatment</w:t>
      </w:r>
    </w:p>
    <w:p>
      <w:pPr>
        <w:pStyle w:val="Normal"/>
        <w:spacing w:lineRule="exact" w:line="268" w:before="0" w:after="120"/>
        <w:rPr/>
      </w:pPr>
      <w:r>
        <w:rPr>
          <w:rFonts w:eastAsia="Calibri" w:cs="Calibri"/>
          <w:color w:val="2C3340"/>
          <w:sz w:val="21"/>
          <w:szCs w:val="21"/>
        </w:rPr>
        <w:t>A peer guide (not an official) makes the “how” feel achievable, because most young people already start with peers — the film meets that and upgrades it. Clean icon animation keeps the source list memorable and doubles as a static carousel for Instagram/TikTok. The three-question source test is a compact form of prebunking (Toolkit Module 2) — a reusable tool, not a one-off message. Captions throughout; Sheng-first for the youth cut.</w:t>
      </w:r>
      <w:r>
        <w:rPr>
          <w:rFonts w:eastAsia="Calibri" w:cs="Calibri"/>
          <w:b/>
          <w:bCs/>
          <w:color w:val="A8863F"/>
          <w:sz w:val="13"/>
          <w:szCs w:val="13"/>
          <w:vertAlign w:val="superscript"/>
        </w:rPr>
        <w:t xml:space="preserve"> [7,6]</w:t>
      </w:r>
    </w:p>
    <w:p>
      <w:pPr>
        <w:pStyle w:val="Heading2"/>
        <w:keepNext w:val="true"/>
        <w:spacing w:before="240" w:after="100"/>
        <w:rPr/>
      </w:pPr>
      <w:r>
        <w:rPr>
          <w:rFonts w:eastAsia="Calibri" w:cs="Calibri" w:ascii="Calibri" w:hAnsi="Calibri"/>
          <w:b/>
          <w:bCs/>
          <w:color w:val="222B42"/>
          <w:sz w:val="25"/>
          <w:szCs w:val="25"/>
        </w:rPr>
        <w:t>Full shooting script</w:t>
      </w:r>
    </w:p>
    <w:tbl>
      <w:tblPr>
        <w:tblW w:w="9360" w:type="dxa"/>
        <w:jc w:val="left"/>
        <w:tblInd w:w="0" w:type="dxa"/>
        <w:tblLayout w:type="fixed"/>
        <w:tblCellMar>
          <w:top w:w="70" w:type="dxa"/>
          <w:left w:w="110" w:type="dxa"/>
          <w:bottom w:w="70" w:type="dxa"/>
          <w:right w:w="110" w:type="dxa"/>
        </w:tblCellMar>
      </w:tblPr>
      <w:tblGrid>
        <w:gridCol w:w="619"/>
        <w:gridCol w:w="4300"/>
        <w:gridCol w:w="4441"/>
      </w:tblGrid>
      <w:tr>
        <w:trPr>
          <w:tblHeader w:val="true"/>
        </w:trPr>
        <w:tc>
          <w:tcPr>
            <w:tcW w:w="61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w:t>
            </w:r>
          </w:p>
        </w:tc>
        <w:tc>
          <w:tcPr>
            <w:tcW w:w="43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VISUAL / ON-SCREEN / DIRECTION</w:t>
            </w:r>
          </w:p>
        </w:tc>
        <w:tc>
          <w:tcPr>
            <w:tcW w:w="444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0" w:before="0" w:after="0"/>
              <w:rPr/>
            </w:pPr>
            <w:r>
              <w:rPr>
                <w:rFonts w:eastAsia="Calibri" w:cs="Calibri"/>
                <w:b/>
                <w:bCs/>
                <w:color w:val="FFFFFF"/>
                <w:sz w:val="18"/>
                <w:szCs w:val="18"/>
              </w:rPr>
              <w:t>AUDIO — VO / DIALOGUE / SFX / MUSIC</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1</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Kevo (Agneta’s cousin, 22), phone in hand, friendly, direct to camera on a familiar street/campus. Same creator audiences know from the toolkit and podcast.</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Where do YOU get answers about your body?</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KEVO: Real talk — where do you get answers about your body? TikTok? A friend? A random group?</w:t>
            </w:r>
          </w:p>
          <w:p>
            <w:pPr>
              <w:pStyle w:val="Normal"/>
              <w:spacing w:lineRule="exact" w:line="248" w:before="0" w:after="0"/>
              <w:rPr/>
            </w:pPr>
            <w:r>
              <w:rPr>
                <w:rFonts w:eastAsia="Calibri" w:cs="Calibri"/>
                <w:i/>
                <w:iCs/>
                <w:color w:val="8892B0"/>
                <w:sz w:val="16"/>
                <w:szCs w:val="16"/>
              </w:rPr>
              <w:t>Music: upbeat, youthful. Sheng-first cut.</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2</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Quick playful cut of confusing/contradictory “posts” swirling (animated).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Some of it’s gold. Some of it’ll mess you up.</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KEVO: Some of it’s solid. Some of it will genuinely mess you up. So here’s how to find the good stuff.</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3</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Icon animation: a health worker / clinic icon slides in.</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1 · A health worker or clinic near you.</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KEVO: One — a real health worker. Clinics near you have people trained for exactly this. No judgment.</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4</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Icon: a verified doctor posting online (badge).</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2 · Verified health professionals online.</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KEVO: Two — doctors and nurses who post under their own names, with real credentials. Follow them.</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5</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Icon: ImaarishaSRHR mark + a community health promoter icon.</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3 · ImaarishaSRHR &amp; your community health promoter.</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KEVO: Three — ImaarishaSRHR’s own channels, and the community health promoter in your area. Trusted, and close.</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6</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Screen splits into three quick question cards.</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The 3-question test for ANY source:</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KEVO: And for anything you see, run this quick test.</w:t>
            </w:r>
          </w:p>
          <w:p>
            <w:pPr>
              <w:pStyle w:val="Normal"/>
              <w:spacing w:lineRule="exact" w:line="248" w:before="0" w:after="0"/>
              <w:rPr/>
            </w:pPr>
            <w:r>
              <w:rPr>
                <w:rFonts w:eastAsia="Calibri" w:cs="Calibri"/>
                <w:i/>
                <w:iCs/>
                <w:color w:val="8892B0"/>
                <w:sz w:val="16"/>
                <w:szCs w:val="16"/>
              </w:rPr>
              <w:t>The take-home tool.</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7</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Card 1, then 2, then 3 animate in.</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Who’s saying it? · Are they qualified? · Do trusted sources agree?</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KEVO: Who is actually saying it? Are they qualified to? And do other trusted sources agree? If not — pause.</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8</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Guide back to camera, warm, reassuring.</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Asking is normal. Services are confidential.</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KEVO: And listen — asking is normal. It’s smart. Services are private, and they’re for you.</w:t>
            </w:r>
          </w:p>
          <w:p>
            <w:pPr>
              <w:pStyle w:val="Normal"/>
              <w:spacing w:lineRule="exact" w:line="248" w:before="0" w:after="0"/>
              <w:rPr/>
            </w:pPr>
            <w:r>
              <w:rPr>
                <w:rFonts w:eastAsia="Calibri" w:cs="Calibri"/>
                <w:i/>
                <w:iCs/>
                <w:color w:val="8892B0"/>
                <w:sz w:val="16"/>
                <w:szCs w:val="16"/>
              </w:rPr>
              <w:t>Music softens.</w:t>
            </w:r>
          </w:p>
        </w:tc>
      </w:tr>
      <w:tr>
        <w:trPr/>
        <w:tc>
          <w:tcPr>
            <w:tcW w:w="619" w:type="dxa"/>
            <w:tcBorders>
              <w:top w:val="single" w:sz="4" w:space="0" w:color="D9DDE5"/>
              <w:left w:val="single" w:sz="4" w:space="0" w:color="D9DDE5"/>
              <w:bottom w:val="single" w:sz="4" w:space="0" w:color="D9DDE5"/>
              <w:right w:val="single" w:sz="4" w:space="0" w:color="D9DDE5"/>
            </w:tcBorders>
            <w:shd w:fill="F7F8FB" w:val="clear"/>
          </w:tcPr>
          <w:p>
            <w:pPr>
              <w:pStyle w:val="Normal"/>
              <w:spacing w:lineRule="exact" w:line="250" w:before="0" w:after="0"/>
              <w:rPr/>
            </w:pPr>
            <w:r>
              <w:rPr>
                <w:rFonts w:eastAsia="Calibri" w:cs="Calibri"/>
                <w:b/>
                <w:bCs/>
                <w:color w:val="222B42"/>
                <w:sz w:val="18"/>
                <w:szCs w:val="18"/>
              </w:rPr>
              <w:t>9</w:t>
            </w:r>
          </w:p>
        </w:tc>
        <w:tc>
          <w:tcPr>
            <w:tcW w:w="43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50"/>
              <w:rPr/>
            </w:pPr>
            <w:r>
              <w:rPr>
                <w:rFonts w:eastAsia="Calibri" w:cs="Calibri"/>
                <w:color w:val="2C3340"/>
                <w:sz w:val="18"/>
                <w:szCs w:val="18"/>
              </w:rPr>
              <w:t>End line + where-to-go.</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Get real answers → imaarishasrhr.org</w:t>
            </w:r>
          </w:p>
        </w:tc>
        <w:tc>
          <w:tcPr>
            <w:tcW w:w="444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0" w:before="0" w:after="0"/>
              <w:rPr/>
            </w:pPr>
            <w:r>
              <w:rPr>
                <w:rFonts w:eastAsia="Calibri" w:cs="Calibri"/>
                <w:b/>
                <w:bCs/>
                <w:color w:val="222B42"/>
                <w:sz w:val="16"/>
                <w:szCs w:val="16"/>
              </w:rPr>
              <w:t xml:space="preserve">VO: </w:t>
            </w:r>
            <w:r>
              <w:rPr>
                <w:rFonts w:eastAsia="Calibri" w:cs="Calibri"/>
                <w:color w:val="2C3340"/>
                <w:sz w:val="18"/>
                <w:szCs w:val="18"/>
              </w:rPr>
              <w:t>KEVO: Get real answers from people who actually know. Start at ImaarishaSRHR.</w:t>
            </w:r>
          </w:p>
        </w:tc>
      </w:tr>
      <w:tr>
        <w:trPr/>
        <w:tc>
          <w:tcPr>
            <w:tcW w:w="619" w:type="dxa"/>
            <w:tcBorders>
              <w:top w:val="single" w:sz="4" w:space="0" w:color="D9DDE5"/>
              <w:left w:val="single" w:sz="4" w:space="0" w:color="D9DDE5"/>
              <w:bottom w:val="single" w:sz="4" w:space="0" w:color="D9DDE5"/>
              <w:right w:val="single" w:sz="4" w:space="0" w:color="D9DDE5"/>
            </w:tcBorders>
            <w:shd w:fill="E7EBF2" w:val="clear"/>
          </w:tcPr>
          <w:p>
            <w:pPr>
              <w:pStyle w:val="Normal"/>
              <w:spacing w:lineRule="exact" w:line="250" w:before="0" w:after="0"/>
              <w:rPr/>
            </w:pPr>
            <w:r>
              <w:rPr>
                <w:rFonts w:eastAsia="Calibri" w:cs="Calibri"/>
                <w:b/>
                <w:bCs/>
                <w:color w:val="222B42"/>
                <w:sz w:val="18"/>
                <w:szCs w:val="18"/>
              </w:rPr>
              <w:t>10</w:t>
            </w:r>
          </w:p>
        </w:tc>
        <w:tc>
          <w:tcPr>
            <w:tcW w:w="43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color w:val="2C3340"/>
                <w:sz w:val="18"/>
                <w:szCs w:val="18"/>
              </w:rPr>
              <w:t>ImaarishaSRHR end-card.</w:t>
            </w:r>
          </w:p>
          <w:p>
            <w:pPr>
              <w:pStyle w:val="Normal"/>
              <w:spacing w:lineRule="exact" w:line="248" w:before="0" w:after="0"/>
              <w:rPr/>
            </w:pPr>
            <w:r>
              <w:rPr>
                <w:rFonts w:eastAsia="Calibri" w:cs="Calibri"/>
                <w:b/>
                <w:bCs/>
                <w:color w:val="A8863F"/>
                <w:sz w:val="16"/>
                <w:szCs w:val="16"/>
              </w:rPr>
              <w:t xml:space="preserve">On-screen: </w:t>
            </w:r>
            <w:r>
              <w:rPr>
                <w:rFonts w:eastAsia="Calibri" w:cs="Calibri"/>
                <w:i/>
                <w:iCs/>
                <w:color w:val="222B42"/>
                <w:sz w:val="16"/>
                <w:szCs w:val="16"/>
              </w:rPr>
              <w:t>ImaarishaSRHR · #AmplifyChange · imaarishasrhr.org</w:t>
            </w:r>
          </w:p>
        </w:tc>
        <w:tc>
          <w:tcPr>
            <w:tcW w:w="444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0" w:before="0" w:after="50"/>
              <w:rPr/>
            </w:pPr>
            <w:r>
              <w:rPr>
                <w:rFonts w:eastAsia="Calibri" w:cs="Calibri"/>
                <w:b/>
                <w:bCs/>
                <w:color w:val="222B42"/>
                <w:sz w:val="16"/>
                <w:szCs w:val="16"/>
              </w:rPr>
              <w:t xml:space="preserve">VO: </w:t>
            </w:r>
            <w:r>
              <w:rPr>
                <w:rFonts w:eastAsia="Calibri" w:cs="Calibri"/>
                <w:color w:val="2C3340"/>
                <w:sz w:val="18"/>
                <w:szCs w:val="18"/>
              </w:rPr>
              <w:t>(no VO) — musical button.</w:t>
            </w:r>
          </w:p>
          <w:p>
            <w:pPr>
              <w:pStyle w:val="Normal"/>
              <w:spacing w:lineRule="exact" w:line="248" w:before="0" w:after="0"/>
              <w:rPr/>
            </w:pPr>
            <w:r>
              <w:rPr>
                <w:rFonts w:eastAsia="Calibri" w:cs="Calibri"/>
                <w:i/>
                <w:iCs/>
                <w:color w:val="8892B0"/>
                <w:sz w:val="16"/>
                <w:szCs w:val="16"/>
              </w:rPr>
              <w:t>Consistent CTA card.</w:t>
            </w:r>
          </w:p>
        </w:tc>
      </w:tr>
    </w:tbl>
    <w:p>
      <w:pPr>
        <w:pStyle w:val="Normal"/>
        <w:spacing w:before="0" w:after="120"/>
        <w:rPr/>
      </w:pPr>
      <w:r>
        <w:rPr/>
      </w:r>
    </w:p>
    <w:p>
      <w:pPr>
        <w:pStyle w:val="Heading3"/>
        <w:keepNext w:val="true"/>
        <w:spacing w:before="180" w:after="70"/>
        <w:rPr/>
      </w:pPr>
      <w:r>
        <w:rPr>
          <w:rFonts w:eastAsia="Calibri" w:cs="Calibri" w:ascii="Calibri" w:hAnsi="Calibri"/>
          <w:b/>
          <w:bCs/>
          <w:color w:val="A8863F"/>
          <w:sz w:val="22"/>
          <w:szCs w:val="22"/>
        </w:rPr>
        <w:t>Production notes</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Cast a genuinely relatable young peer; Sheng-first for the 18–24 cut (Sheng outperforms English 3:1 in sharing).</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Turn the three-question source test and the source list into a static carousel for Instagram/TikTok.</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Verify all signposting (handles, clinic guidance) is current, locally accurate and confidential-by-default.</w:t>
      </w:r>
    </w:p>
    <w:p>
      <w:pPr>
        <w:pStyle w:val="Normal"/>
        <w:spacing w:before="0" w:after="80"/>
        <w:rPr/>
      </w:pPr>
      <w:r>
        <w:rPr/>
      </w:r>
      <w:r>
        <w:br w:type="page"/>
      </w:r>
    </w:p>
    <w:p>
      <w:pPr>
        <w:pStyle w:val="Normal"/>
        <w:keepNext w:val="true"/>
        <w:spacing w:before="0" w:after="40"/>
        <w:rPr/>
      </w:pPr>
      <w:r>
        <w:rPr>
          <w:rFonts w:eastAsia="Calibri" w:cs="Calibri"/>
          <w:b/>
          <w:bCs/>
          <w:color w:val="C6A15B"/>
          <w:spacing w:val="30"/>
          <w:sz w:val="16"/>
          <w:szCs w:val="16"/>
        </w:rPr>
        <w:t>PRODUCTION</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Slate-wide production &amp; rollout</w:t>
      </w:r>
    </w:p>
    <w:p>
      <w:pPr>
        <w:pStyle w:val="Heading2"/>
        <w:keepNext w:val="true"/>
        <w:spacing w:before="240" w:after="100"/>
        <w:rPr/>
      </w:pPr>
      <w:r>
        <w:rPr>
          <w:rFonts w:eastAsia="Calibri" w:cs="Calibri" w:ascii="Calibri" w:hAnsi="Calibri"/>
          <w:b/>
          <w:bCs/>
          <w:color w:val="222B42"/>
          <w:sz w:val="25"/>
          <w:szCs w:val="25"/>
        </w:rPr>
        <w:t>Formats &amp; versions (per video)</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Aspect ratios: 9:16 vertical master (TikTok, Reels, WhatsApp Status), plus 1:1 and 16:9 cutdowns.</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Languages: English, Kiswahili and Sheng over the same picture — Sheng-first for youth cuts.</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Captions burned in on every version — most social video is watched on mute.</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Cutdowns: a 30-second social edit of each; Video 3 also as single-myth 30s cards.</w:t>
      </w:r>
    </w:p>
    <w:p>
      <w:pPr>
        <w:pStyle w:val="Heading2"/>
        <w:keepNext w:val="true"/>
        <w:spacing w:before="240" w:after="100"/>
        <w:rPr/>
      </w:pPr>
      <w:r>
        <w:rPr>
          <w:rFonts w:eastAsia="Calibri" w:cs="Calibri" w:ascii="Calibri" w:hAnsi="Calibri"/>
          <w:b/>
          <w:bCs/>
          <w:color w:val="222B42"/>
          <w:sz w:val="25"/>
          <w:szCs w:val="25"/>
        </w:rPr>
        <w:t>The consistency system</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Shared palette (navy &amp; gold), type system, lower-thirds and the identical end-card/CTA.</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A trusted messenger (doctor or peer) visibly present for every factual claim (71% trust).</w:t>
      </w:r>
    </w:p>
    <w:p>
      <w:pPr>
        <w:pStyle w:val="ListParagraph"/>
        <w:numPr>
          <w:ilvl w:val="0"/>
          <w:numId w:val="1"/>
        </w:numPr>
        <w:spacing w:lineRule="exact" w:line="258" w:before="0" w:after="70"/>
        <w:rPr/>
      </w:pPr>
      <w:r>
        <w:rPr>
          <w:rFonts w:eastAsia="Calibri" w:cs="Calibri"/>
          <w:b w:val="false"/>
          <w:bCs w:val="false"/>
          <w:i w:val="false"/>
          <w:iCs w:val="false"/>
          <w:caps w:val="false"/>
          <w:smallCaps w:val="false"/>
          <w:color w:val="2C3340"/>
          <w:sz w:val="21"/>
          <w:szCs w:val="21"/>
        </w:rPr>
        <w:t>Values-framing order in every script: open on health/family → correct/inform → arrive at rights/action.</w:t>
      </w:r>
    </w:p>
    <w:p>
      <w:pPr>
        <w:pStyle w:val="Heading2"/>
        <w:keepNext w:val="true"/>
        <w:spacing w:before="240" w:after="100"/>
        <w:rPr/>
      </w:pPr>
      <w:r>
        <w:rPr>
          <w:rFonts w:eastAsia="Calibri" w:cs="Calibri" w:ascii="Calibri" w:hAnsi="Calibri"/>
          <w:b/>
          <w:bCs/>
          <w:color w:val="222B42"/>
          <w:sz w:val="25"/>
          <w:szCs w:val="25"/>
        </w:rPr>
        <w:t>Suggested release sequence</w:t>
      </w:r>
    </w:p>
    <w:tbl>
      <w:tblPr>
        <w:tblW w:w="9360" w:type="dxa"/>
        <w:jc w:val="left"/>
        <w:tblInd w:w="0" w:type="dxa"/>
        <w:tblLayout w:type="fixed"/>
        <w:tblCellMar>
          <w:top w:w="90" w:type="dxa"/>
          <w:left w:w="130" w:type="dxa"/>
          <w:bottom w:w="90" w:type="dxa"/>
          <w:right w:w="130" w:type="dxa"/>
        </w:tblCellMar>
      </w:tblPr>
      <w:tblGrid>
        <w:gridCol w:w="900"/>
        <w:gridCol w:w="3259"/>
        <w:gridCol w:w="5201"/>
      </w:tblGrid>
      <w:tr>
        <w:trPr>
          <w:tblHeader w:val="true"/>
        </w:trPr>
        <w:tc>
          <w:tcPr>
            <w:tcW w:w="900"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Order</w:t>
            </w:r>
          </w:p>
        </w:tc>
        <w:tc>
          <w:tcPr>
            <w:tcW w:w="3259"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Video</w:t>
            </w:r>
          </w:p>
        </w:tc>
        <w:tc>
          <w:tcPr>
            <w:tcW w:w="5201" w:type="dxa"/>
            <w:tcBorders>
              <w:top w:val="single" w:sz="4" w:space="0" w:color="D9DDE5"/>
              <w:left w:val="single" w:sz="4" w:space="0" w:color="D9DDE5"/>
              <w:bottom w:val="single" w:sz="4" w:space="0" w:color="D9DDE5"/>
              <w:right w:val="single" w:sz="4" w:space="0" w:color="D9DDE5"/>
            </w:tcBorders>
            <w:shd w:fill="111827" w:val="clear"/>
          </w:tcPr>
          <w:p>
            <w:pPr>
              <w:pStyle w:val="Normal"/>
              <w:spacing w:lineRule="exact" w:line="252" w:before="0" w:after="0"/>
              <w:jc w:val="left"/>
              <w:rPr/>
            </w:pPr>
            <w:r>
              <w:rPr>
                <w:rFonts w:eastAsia="Calibri" w:cs="Calibri"/>
                <w:b/>
                <w:bCs/>
                <w:color w:val="FFFFFF"/>
                <w:sz w:val="18"/>
                <w:szCs w:val="18"/>
              </w:rPr>
              <w:t>Rationale</w:t>
            </w:r>
          </w:p>
        </w:tc>
      </w:tr>
      <w:tr>
        <w:trPr/>
        <w:tc>
          <w:tcPr>
            <w:tcW w:w="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1</w:t>
            </w:r>
          </w:p>
        </w:tc>
        <w:tc>
          <w:tcPr>
            <w:tcW w:w="3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Demystifying SRHR</w:t>
            </w:r>
          </w:p>
        </w:tc>
        <w:tc>
          <w:tcPr>
            <w:tcW w:w="52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Opens the door and defines terms before anything else.</w:t>
            </w:r>
          </w:p>
        </w:tc>
      </w:tr>
      <w:tr>
        <w:trPr/>
        <w:tc>
          <w:tcPr>
            <w:tcW w:w="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2</w:t>
            </w:r>
          </w:p>
        </w:tc>
        <w:tc>
          <w:tcPr>
            <w:tcW w:w="3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Myths &amp; Facts</w:t>
            </w:r>
          </w:p>
        </w:tc>
        <w:tc>
          <w:tcPr>
            <w:tcW w:w="52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Highest-leverage, most shareable; builds trust with the clinician.</w:t>
            </w:r>
          </w:p>
        </w:tc>
      </w:tr>
      <w:tr>
        <w:trPr/>
        <w:tc>
          <w:tcPr>
            <w:tcW w:w="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3</w:t>
            </w:r>
          </w:p>
        </w:tc>
        <w:tc>
          <w:tcPr>
            <w:tcW w:w="3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SRHR &amp; Disinformation</w:t>
            </w:r>
          </w:p>
        </w:tc>
        <w:tc>
          <w:tcPr>
            <w:tcW w:w="52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Teaches the “pause before sharing” habit as myths circulate.</w:t>
            </w:r>
          </w:p>
        </w:tc>
      </w:tr>
      <w:tr>
        <w:trPr/>
        <w:tc>
          <w:tcPr>
            <w:tcW w:w="900"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4</w:t>
            </w:r>
          </w:p>
        </w:tc>
        <w:tc>
          <w:tcPr>
            <w:tcW w:w="3259"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Where to Get Info</w:t>
            </w:r>
          </w:p>
        </w:tc>
        <w:tc>
          <w:tcPr>
            <w:tcW w:w="5201" w:type="dxa"/>
            <w:tcBorders>
              <w:top w:val="single" w:sz="4" w:space="0" w:color="D9DDE5"/>
              <w:left w:val="single" w:sz="4" w:space="0" w:color="D9DDE5"/>
              <w:bottom w:val="single" w:sz="4" w:space="0" w:color="D9DDE5"/>
              <w:right w:val="single" w:sz="4" w:space="0" w:color="D9DDE5"/>
            </w:tcBorders>
            <w:shd w:fill="F2F4F8" w:val="clear"/>
          </w:tcPr>
          <w:p>
            <w:pPr>
              <w:pStyle w:val="Normal"/>
              <w:spacing w:lineRule="exact" w:line="252" w:before="0" w:after="0"/>
              <w:jc w:val="left"/>
              <w:rPr/>
            </w:pPr>
            <w:r>
              <w:rPr>
                <w:rFonts w:eastAsia="Calibri" w:cs="Calibri"/>
                <w:b w:val="false"/>
                <w:bCs w:val="false"/>
                <w:color w:val="2C3340"/>
                <w:sz w:val="18"/>
                <w:szCs w:val="18"/>
              </w:rPr>
              <w:t>Converts new awareness into action and safe sources.</w:t>
            </w:r>
          </w:p>
        </w:tc>
      </w:tr>
      <w:tr>
        <w:trPr/>
        <w:tc>
          <w:tcPr>
            <w:tcW w:w="900"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5</w:t>
            </w:r>
          </w:p>
        </w:tc>
        <w:tc>
          <w:tcPr>
            <w:tcW w:w="3259"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Latest Developments</w:t>
            </w:r>
          </w:p>
        </w:tc>
        <w:tc>
          <w:tcPr>
            <w:tcW w:w="5201" w:type="dxa"/>
            <w:tcBorders>
              <w:top w:val="single" w:sz="4" w:space="0" w:color="D9DDE5"/>
              <w:left w:val="single" w:sz="4" w:space="0" w:color="D9DDE5"/>
              <w:bottom w:val="single" w:sz="4" w:space="0" w:color="D9DDE5"/>
              <w:right w:val="single" w:sz="4" w:space="0" w:color="D9DDE5"/>
            </w:tcBorders>
            <w:shd w:fill="FFFFFF" w:val="clear"/>
          </w:tcPr>
          <w:p>
            <w:pPr>
              <w:pStyle w:val="Normal"/>
              <w:spacing w:lineRule="exact" w:line="252" w:before="0" w:after="0"/>
              <w:jc w:val="left"/>
              <w:rPr/>
            </w:pPr>
            <w:r>
              <w:rPr>
                <w:rFonts w:eastAsia="Calibri" w:cs="Calibri"/>
                <w:b w:val="false"/>
                <w:bCs w:val="false"/>
                <w:color w:val="2C3340"/>
                <w:sz w:val="18"/>
                <w:szCs w:val="18"/>
              </w:rPr>
              <w:t>Sustains momentum; re-versionable as an ongoing update.</w:t>
            </w:r>
          </w:p>
        </w:tc>
      </w:tr>
    </w:tbl>
    <w:p>
      <w:pPr>
        <w:pStyle w:val="Normal"/>
        <w:spacing w:lineRule="exact" w:line="250" w:before="0" w:after="130"/>
        <w:rPr/>
      </w:pPr>
      <w:r>
        <w:rPr>
          <w:rFonts w:eastAsia="Calibri" w:cs="Calibri"/>
          <w:i/>
          <w:iCs/>
          <w:color w:val="8892B0"/>
          <w:sz w:val="15"/>
          <w:szCs w:val="15"/>
        </w:rPr>
        <w:t>Sequencing and messenger logic: TIFA, social listening and the research report</w:t>
      </w:r>
      <w:r>
        <w:rPr>
          <w:rFonts w:eastAsia="Calibri" w:cs="Calibri"/>
          <w:b/>
          <w:bCs/>
          <w:color w:val="A8863F"/>
          <w:sz w:val="13"/>
          <w:szCs w:val="13"/>
          <w:vertAlign w:val="superscript"/>
        </w:rPr>
        <w:t xml:space="preserve"> [2,3,1]</w:t>
      </w:r>
      <w:r>
        <w:rPr>
          <w:rFonts w:eastAsia="Calibri" w:cs="Calibri"/>
          <w:i/>
          <w:iCs/>
          <w:color w:val="8892B0"/>
          <w:sz w:val="15"/>
          <w:szCs w:val="15"/>
        </w:rPr>
        <w:t>.</w:t>
      </w:r>
      <w:r>
        <w:br w:type="page"/>
      </w:r>
    </w:p>
    <w:p>
      <w:pPr>
        <w:pStyle w:val="Normal"/>
        <w:keepNext w:val="true"/>
        <w:spacing w:before="0" w:after="40"/>
        <w:rPr/>
      </w:pPr>
      <w:r>
        <w:rPr>
          <w:rFonts w:eastAsia="Calibri" w:cs="Calibri"/>
          <w:b/>
          <w:bCs/>
          <w:color w:val="C6A15B"/>
          <w:spacing w:val="30"/>
          <w:sz w:val="16"/>
          <w:szCs w:val="16"/>
        </w:rPr>
        <w:t>SOURCES</w:t>
      </w:r>
    </w:p>
    <w:p>
      <w:pPr>
        <w:pStyle w:val="Heading1"/>
        <w:keepNext w:val="true"/>
        <w:pBdr>
          <w:bottom w:val="single" w:sz="12" w:space="6" w:color="C6A15B"/>
        </w:pBdr>
        <w:spacing w:before="320" w:after="140"/>
        <w:rPr/>
      </w:pPr>
      <w:r>
        <w:rPr>
          <w:rFonts w:eastAsia="Calibri" w:cs="Calibri" w:ascii="Calibri" w:hAnsi="Calibri"/>
          <w:b/>
          <w:bCs/>
          <w:color w:val="111827"/>
          <w:sz w:val="30"/>
          <w:szCs w:val="30"/>
        </w:rPr>
        <w:t>Sources &amp; References</w:t>
      </w:r>
    </w:p>
    <w:p>
      <w:pPr>
        <w:pStyle w:val="Normal"/>
        <w:spacing w:lineRule="exact" w:line="264" w:before="0" w:after="120"/>
        <w:jc w:val="left"/>
        <w:rPr/>
      </w:pPr>
      <w:r>
        <w:rPr>
          <w:rFonts w:eastAsia="Calibri" w:cs="Calibri"/>
          <w:b w:val="false"/>
          <w:bCs w:val="false"/>
          <w:i w:val="false"/>
          <w:iCs w:val="false"/>
          <w:caps w:val="false"/>
          <w:smallCaps w:val="false"/>
          <w:color w:val="2C3340"/>
          <w:sz w:val="21"/>
          <w:szCs w:val="21"/>
        </w:rPr>
        <w:t>Sources [1]–[4] are the ImaarishaSRHR Phase 1 evidence base. Public and academic sources follow, in order of first appearance.</w:t>
      </w:r>
    </w:p>
    <w:p>
      <w:pPr>
        <w:pStyle w:val="Normal"/>
        <w:spacing w:lineRule="exact" w:line="252" w:before="0" w:after="70"/>
        <w:ind w:hanging="360" w:left="360"/>
        <w:rPr/>
      </w:pPr>
      <w:r>
        <w:rPr>
          <w:rFonts w:eastAsia="Calibri" w:cs="Calibri"/>
          <w:b/>
          <w:bCs/>
          <w:color w:val="A8863F"/>
          <w:sz w:val="18"/>
          <w:szCs w:val="18"/>
        </w:rPr>
        <w:t xml:space="preserve">[1]  </w:t>
      </w:r>
      <w:r>
        <w:rPr>
          <w:rFonts w:eastAsia="Calibri" w:cs="Calibri"/>
          <w:color w:val="2C3340"/>
          <w:sz w:val="18"/>
          <w:szCs w:val="18"/>
        </w:rPr>
        <w:t>CoMeT / ImaarishaSRHR, “Deconstructing Cultural &amp; Patriarchal Barriers to SRHR Access and Enjoyment in Kenya,” triangulated mixed-methods research report, March 2026.</w:t>
      </w:r>
    </w:p>
    <w:p>
      <w:pPr>
        <w:pStyle w:val="Normal"/>
        <w:spacing w:lineRule="exact" w:line="252" w:before="0" w:after="70"/>
        <w:ind w:hanging="360" w:left="360"/>
        <w:rPr/>
      </w:pPr>
      <w:r>
        <w:rPr>
          <w:rFonts w:eastAsia="Calibri" w:cs="Calibri"/>
          <w:b/>
          <w:bCs/>
          <w:color w:val="A8863F"/>
          <w:sz w:val="18"/>
          <w:szCs w:val="18"/>
        </w:rPr>
        <w:t xml:space="preserve">[2]  </w:t>
      </w:r>
      <w:r>
        <w:rPr>
          <w:rFonts w:eastAsia="Calibri" w:cs="Calibri"/>
          <w:color w:val="2C3340"/>
          <w:sz w:val="18"/>
          <w:szCs w:val="18"/>
        </w:rPr>
        <w:t>TIFA Research, “How Patriarchy, Culture &amp; Disinformation Influence SRHR Access — Opinion Poll” (n=2,013, all 47 counties, ±2.18%), May 2026.</w:t>
      </w:r>
    </w:p>
    <w:p>
      <w:pPr>
        <w:pStyle w:val="Normal"/>
        <w:spacing w:lineRule="exact" w:line="252" w:before="0" w:after="70"/>
        <w:ind w:hanging="360" w:left="360"/>
        <w:rPr/>
      </w:pPr>
      <w:r>
        <w:rPr>
          <w:rFonts w:eastAsia="Calibri" w:cs="Calibri"/>
          <w:b/>
          <w:bCs/>
          <w:color w:val="A8863F"/>
          <w:sz w:val="18"/>
          <w:szCs w:val="18"/>
        </w:rPr>
        <w:t xml:space="preserve">[3]  </w:t>
      </w:r>
      <w:r>
        <w:rPr>
          <w:rFonts w:eastAsia="Calibri" w:cs="Calibri"/>
          <w:color w:val="2C3340"/>
          <w:sz w:val="18"/>
          <w:szCs w:val="18"/>
        </w:rPr>
        <w:t>ImaarishaSRHR Social Listening dataset — 419,720 posts (Jul 2025–Feb 2026).</w:t>
      </w:r>
    </w:p>
    <w:p>
      <w:pPr>
        <w:pStyle w:val="Normal"/>
        <w:spacing w:lineRule="exact" w:line="252" w:before="0" w:after="70"/>
        <w:ind w:hanging="360" w:left="360"/>
        <w:rPr/>
      </w:pPr>
      <w:r>
        <w:rPr>
          <w:rFonts w:eastAsia="Calibri" w:cs="Calibri"/>
          <w:b/>
          <w:bCs/>
          <w:color w:val="A8863F"/>
          <w:sz w:val="18"/>
          <w:szCs w:val="18"/>
        </w:rPr>
        <w:t xml:space="preserve">[4]  </w:t>
      </w:r>
      <w:r>
        <w:rPr>
          <w:rFonts w:eastAsia="Calibri" w:cs="Calibri"/>
          <w:color w:val="2C3340"/>
          <w:sz w:val="18"/>
          <w:szCs w:val="18"/>
        </w:rPr>
        <w:t>ImaarishaSRHR WhatsApp Focus Group Discussions — women 18–35, 4 sites, 2025–2026.</w:t>
      </w:r>
    </w:p>
    <w:p>
      <w:pPr>
        <w:pStyle w:val="Normal"/>
        <w:spacing w:lineRule="exact" w:line="252" w:before="0" w:after="70"/>
        <w:ind w:hanging="360" w:left="360"/>
        <w:rPr/>
      </w:pPr>
      <w:r>
        <w:rPr>
          <w:rFonts w:eastAsia="Calibri" w:cs="Calibri"/>
          <w:b/>
          <w:bCs/>
          <w:color w:val="A8863F"/>
          <w:sz w:val="18"/>
          <w:szCs w:val="18"/>
        </w:rPr>
        <w:t xml:space="preserve">[5]  </w:t>
      </w:r>
      <w:r>
        <w:rPr>
          <w:rFonts w:eastAsia="Calibri" w:cs="Calibri"/>
          <w:color w:val="2C3340"/>
          <w:sz w:val="18"/>
          <w:szCs w:val="18"/>
        </w:rPr>
        <w:t>Singhal A., Rogers E.M., “Entertainment-Education: A Communication Strategy for Social Change,” Routledge, 1999; Population Media Center, Sabido methodology.</w:t>
      </w:r>
      <w:r>
        <w:rPr>
          <w:rFonts w:eastAsia="Calibri" w:cs="Calibri"/>
          <w:i/>
          <w:iCs/>
          <w:color w:val="8892B0"/>
          <w:sz w:val="15"/>
          <w:szCs w:val="15"/>
        </w:rPr>
        <w:t xml:space="preserve">  https://www.populationmedia.org/the-sabido-methodology</w:t>
      </w:r>
    </w:p>
    <w:p>
      <w:pPr>
        <w:pStyle w:val="Normal"/>
        <w:spacing w:lineRule="exact" w:line="252" w:before="0" w:after="70"/>
        <w:ind w:hanging="360" w:left="360"/>
        <w:rPr/>
      </w:pPr>
      <w:r>
        <w:rPr>
          <w:rFonts w:eastAsia="Calibri" w:cs="Calibri"/>
          <w:b/>
          <w:bCs/>
          <w:color w:val="A8863F"/>
          <w:sz w:val="18"/>
          <w:szCs w:val="18"/>
        </w:rPr>
        <w:t xml:space="preserve">[6]  </w:t>
      </w:r>
      <w:r>
        <w:rPr>
          <w:rFonts w:eastAsia="Calibri" w:cs="Calibri"/>
          <w:color w:val="2C3340"/>
          <w:sz w:val="18"/>
          <w:szCs w:val="18"/>
        </w:rPr>
        <w:t>Kimani et al., “Empowering youth for social change through the Shujaaz multimedia platform in Kenya,” International Journal of Adolescence and Youth, 2018.</w:t>
      </w:r>
      <w:r>
        <w:rPr>
          <w:rFonts w:eastAsia="Calibri" w:cs="Calibri"/>
          <w:i/>
          <w:iCs/>
          <w:color w:val="8892B0"/>
          <w:sz w:val="15"/>
          <w:szCs w:val="15"/>
        </w:rPr>
        <w:t xml:space="preserve">  https://www.tandfonline.com/doi/full/10.1080/02673843.2018.1475287</w:t>
      </w:r>
    </w:p>
    <w:p>
      <w:pPr>
        <w:pStyle w:val="Normal"/>
        <w:spacing w:lineRule="exact" w:line="252" w:before="0" w:after="70"/>
        <w:ind w:hanging="360" w:left="360"/>
        <w:rPr/>
      </w:pPr>
      <w:r>
        <w:rPr>
          <w:rFonts w:eastAsia="Calibri" w:cs="Calibri"/>
          <w:b/>
          <w:bCs/>
          <w:color w:val="A8863F"/>
          <w:sz w:val="18"/>
          <w:szCs w:val="18"/>
        </w:rPr>
        <w:t xml:space="preserve">[7]  </w:t>
      </w:r>
      <w:r>
        <w:rPr>
          <w:rFonts w:eastAsia="Calibri" w:cs="Calibri"/>
          <w:color w:val="2C3340"/>
          <w:sz w:val="18"/>
          <w:szCs w:val="18"/>
        </w:rPr>
        <w:t>Lewandowsky S., Cook J. et al., “The Debunking Handbook 2020.”</w:t>
      </w:r>
      <w:r>
        <w:rPr>
          <w:rFonts w:eastAsia="Calibri" w:cs="Calibri"/>
          <w:i/>
          <w:iCs/>
          <w:color w:val="8892B0"/>
          <w:sz w:val="15"/>
          <w:szCs w:val="15"/>
        </w:rPr>
        <w:t xml:space="preserve">  https://digitalcommons.unl.edu/context/scholcom/article/1247/viewcontent/DebunkingHandbook2020.pdf</w:t>
      </w:r>
    </w:p>
    <w:p>
      <w:pPr>
        <w:pStyle w:val="Normal"/>
        <w:spacing w:lineRule="exact" w:line="252" w:before="0" w:after="70"/>
        <w:ind w:hanging="360" w:left="360"/>
        <w:rPr/>
      </w:pPr>
      <w:r>
        <w:rPr>
          <w:rFonts w:eastAsia="Calibri" w:cs="Calibri"/>
          <w:b/>
          <w:bCs/>
          <w:color w:val="A8863F"/>
          <w:sz w:val="18"/>
          <w:szCs w:val="18"/>
        </w:rPr>
        <w:t xml:space="preserve">[8]  </w:t>
      </w:r>
      <w:r>
        <w:rPr>
          <w:rFonts w:eastAsia="Calibri" w:cs="Calibri"/>
          <w:color w:val="2C3340"/>
          <w:sz w:val="18"/>
          <w:szCs w:val="18"/>
        </w:rPr>
        <w:t>Aubel J., “Grandmothers — a neglected family resource for saving newborn lives,” BMJ Global Health 6:e003808, 2021.</w:t>
      </w:r>
      <w:r>
        <w:rPr>
          <w:rFonts w:eastAsia="Calibri" w:cs="Calibri"/>
          <w:i/>
          <w:iCs/>
          <w:color w:val="8892B0"/>
          <w:sz w:val="15"/>
          <w:szCs w:val="15"/>
        </w:rPr>
        <w:t xml:space="preserve">  https://pmc.ncbi.nlm.nih.gov/articles/PMC7887373/</w:t>
      </w:r>
    </w:p>
    <w:p>
      <w:pPr>
        <w:pStyle w:val="Normal"/>
        <w:spacing w:lineRule="exact" w:line="252" w:before="0" w:after="70"/>
        <w:ind w:hanging="360" w:left="360"/>
        <w:rPr/>
      </w:pPr>
      <w:r>
        <w:rPr>
          <w:rFonts w:eastAsia="Calibri" w:cs="Calibri"/>
          <w:b/>
          <w:bCs/>
          <w:color w:val="A8863F"/>
          <w:sz w:val="18"/>
          <w:szCs w:val="18"/>
        </w:rPr>
        <w:t xml:space="preserve">[9]  </w:t>
      </w:r>
      <w:r>
        <w:rPr>
          <w:rFonts w:eastAsia="Calibri" w:cs="Calibri"/>
          <w:color w:val="2C3340"/>
          <w:sz w:val="18"/>
          <w:szCs w:val="18"/>
        </w:rPr>
        <w:t>DataReportal, “Digital 2025: Kenya,” Kepios / Meltwater / We Are Social, 2025.</w:t>
      </w:r>
      <w:r>
        <w:rPr>
          <w:rFonts w:eastAsia="Calibri" w:cs="Calibri"/>
          <w:i/>
          <w:iCs/>
          <w:color w:val="8892B0"/>
          <w:sz w:val="15"/>
          <w:szCs w:val="15"/>
        </w:rPr>
        <w:t xml:space="preserve">  https://datareportal.com/reports/digital-2025-kenya</w:t>
      </w:r>
    </w:p>
    <w:p>
      <w:pPr>
        <w:pStyle w:val="Normal"/>
        <w:spacing w:lineRule="exact" w:line="252" w:before="0" w:after="70"/>
        <w:ind w:hanging="360" w:left="360"/>
        <w:rPr/>
      </w:pPr>
      <w:r>
        <w:rPr>
          <w:rFonts w:eastAsia="Calibri" w:cs="Calibri"/>
          <w:b/>
          <w:bCs/>
          <w:color w:val="A8863F"/>
          <w:sz w:val="18"/>
          <w:szCs w:val="18"/>
        </w:rPr>
        <w:t xml:space="preserve">[10]  </w:t>
      </w:r>
      <w:r>
        <w:rPr>
          <w:rFonts w:eastAsia="Calibri" w:cs="Calibri"/>
          <w:color w:val="2C3340"/>
          <w:sz w:val="18"/>
          <w:szCs w:val="18"/>
        </w:rPr>
        <w:t>Perrier M.-J., Martin Ginis K.A., “Changing health-promoting behaviours through narrative interventions: A systematic review,” Journal of Health Psychology, 2018.</w:t>
      </w:r>
      <w:r>
        <w:rPr>
          <w:rFonts w:eastAsia="Calibri" w:cs="Calibri"/>
          <w:i/>
          <w:iCs/>
          <w:color w:val="8892B0"/>
          <w:sz w:val="15"/>
          <w:szCs w:val="15"/>
        </w:rPr>
        <w:t xml:space="preserve">  https://journals.sagepub.com/doi/10.1177/1359105316656243</w:t>
      </w:r>
    </w:p>
    <w:p>
      <w:pPr>
        <w:pStyle w:val="Normal"/>
        <w:spacing w:lineRule="exact" w:line="252" w:before="0" w:after="70"/>
        <w:ind w:hanging="360" w:left="360"/>
        <w:rPr/>
      </w:pPr>
      <w:r>
        <w:rPr>
          <w:rFonts w:eastAsia="Calibri" w:cs="Calibri"/>
          <w:b/>
          <w:bCs/>
          <w:color w:val="A8863F"/>
          <w:sz w:val="18"/>
          <w:szCs w:val="18"/>
        </w:rPr>
        <w:t xml:space="preserve">[11]  </w:t>
      </w:r>
      <w:r>
        <w:rPr>
          <w:rFonts w:eastAsia="Calibri" w:cs="Calibri"/>
          <w:color w:val="2C3340"/>
          <w:sz w:val="18"/>
          <w:szCs w:val="18"/>
        </w:rPr>
        <w:t>Verizon Media / Publicis, “85% of Facebook video is watched without sound” (industry study), 2016; captioning-and-comprehension research.</w:t>
      </w:r>
      <w:r>
        <w:rPr>
          <w:rFonts w:eastAsia="Calibri" w:cs="Calibri"/>
          <w:i/>
          <w:iCs/>
          <w:color w:val="8892B0"/>
          <w:sz w:val="15"/>
          <w:szCs w:val="15"/>
        </w:rPr>
        <w:t xml:space="preserve">  https://digiday.com/media/silent-world-facebook-video/</w:t>
      </w:r>
    </w:p>
    <w:p>
      <w:pPr>
        <w:pStyle w:val="Normal"/>
        <w:spacing w:lineRule="exact" w:line="252" w:before="0" w:after="70"/>
        <w:ind w:hanging="360" w:left="360"/>
        <w:rPr/>
      </w:pPr>
      <w:r>
        <w:rPr>
          <w:rFonts w:eastAsia="Calibri" w:cs="Calibri"/>
          <w:b/>
          <w:bCs/>
          <w:color w:val="A8863F"/>
          <w:sz w:val="18"/>
          <w:szCs w:val="18"/>
        </w:rPr>
        <w:t xml:space="preserve">[12]  </w:t>
      </w:r>
      <w:r>
        <w:rPr>
          <w:rFonts w:eastAsia="Calibri" w:cs="Calibri"/>
          <w:color w:val="2C3340"/>
          <w:sz w:val="18"/>
          <w:szCs w:val="18"/>
        </w:rPr>
        <w:t>Ruark A. et al., “Increasing Family Planning Access in Kenya Through Engagement of Faith-Based Health Facilities…,” Global Health: Science and Practice 7(3), 2019.</w:t>
      </w:r>
      <w:r>
        <w:rPr>
          <w:rFonts w:eastAsia="Calibri" w:cs="Calibri"/>
          <w:i/>
          <w:iCs/>
          <w:color w:val="8892B0"/>
          <w:sz w:val="15"/>
          <w:szCs w:val="15"/>
        </w:rPr>
        <w:t xml:space="preserve">  https://www.ghspjournal.org/content/7/3/478</w:t>
      </w:r>
    </w:p>
    <w:p>
      <w:pPr>
        <w:pStyle w:val="Normal"/>
        <w:spacing w:lineRule="exact" w:line="252" w:before="0" w:after="70"/>
        <w:ind w:hanging="360" w:left="360"/>
        <w:rPr/>
      </w:pPr>
      <w:r>
        <w:rPr>
          <w:rFonts w:eastAsia="Calibri" w:cs="Calibri"/>
          <w:b/>
          <w:bCs/>
          <w:color w:val="A8863F"/>
          <w:sz w:val="18"/>
          <w:szCs w:val="18"/>
        </w:rPr>
        <w:t xml:space="preserve">[13]  </w:t>
      </w:r>
      <w:r>
        <w:rPr>
          <w:rFonts w:eastAsia="Calibri" w:cs="Calibri"/>
          <w:color w:val="2C3340"/>
          <w:sz w:val="18"/>
          <w:szCs w:val="18"/>
        </w:rPr>
        <w:t>Amref Health Africa, “Built from the Ground Up: How 107,000 Community Health Promoters Are Changing the Face of Health Care in Kenya,” 2025.</w:t>
      </w:r>
      <w:r>
        <w:rPr>
          <w:rFonts w:eastAsia="Calibri" w:cs="Calibri"/>
          <w:i/>
          <w:iCs/>
          <w:color w:val="8892B0"/>
          <w:sz w:val="15"/>
          <w:szCs w:val="15"/>
        </w:rPr>
        <w:t xml:space="preserve">  https://newsroom.amref.org/blog/2025/06/built-from-the-ground-up-how-107000-community-health-promoters-are-changing-the-face-of-health-care-in-kenya/</w:t>
      </w:r>
    </w:p>
    <w:p>
      <w:pPr>
        <w:pStyle w:val="Normal"/>
        <w:spacing w:before="160" w:after="0"/>
        <w:jc w:val="center"/>
        <w:rPr/>
      </w:pPr>
      <w:r>
        <w:rPr>
          <w:rFonts w:eastAsia="Calibri" w:cs="Calibri"/>
          <w:color w:val="8892B0"/>
          <w:sz w:val="15"/>
          <w:szCs w:val="15"/>
        </w:rPr>
        <w:t>Community Media Trust (CoMeT)  ·  imaarishasrhr.org  ·  cmt.kenya@gmail.com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80" w:right="1180" w:gutter="0" w:header="708" w:top="1180" w:footer="708" w:bottom="108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9DDE5"/>
      </w:pBdr>
      <w:tabs>
        <w:tab w:val="clear" w:pos="720"/>
        <w:tab w:val="right" w:pos="9360" w:leader="none"/>
      </w:tabs>
      <w:spacing w:before="0" w:after="0"/>
      <w:rPr/>
    </w:pPr>
    <w:r>
      <w:rPr>
        <w:rFonts w:eastAsia="Calibri" w:cs="Calibri"/>
        <w:color w:val="8892B0"/>
        <w:sz w:val="14"/>
        <w:szCs w:val="14"/>
      </w:rPr>
      <w:t>Community Media Trust (CoMeT)  ·  Phase 2 Media Development</w:t>
      <w:tab/>
      <w:tab/>
      <w:t xml:space="preserve">Page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9DDE5"/>
      </w:pBdr>
      <w:tabs>
        <w:tab w:val="clear" w:pos="720"/>
        <w:tab w:val="right" w:pos="9360" w:leader="none"/>
      </w:tabs>
      <w:spacing w:before="0" w:after="0"/>
      <w:rPr/>
    </w:pPr>
    <w:r>
      <w:rPr>
        <w:rFonts w:eastAsia="Calibri" w:cs="Calibri"/>
        <w:color w:val="8892B0"/>
        <w:sz w:val="14"/>
        <w:szCs w:val="14"/>
      </w:rPr>
      <w:t>Community Media Trust (CoMeT)  ·  Phase 2 Media Development</w:t>
      <w:tab/>
      <w:tab/>
      <w:t xml:space="preserve">Page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9DDE5"/>
      </w:pBdr>
      <w:spacing w:before="0" w:after="0"/>
      <w:rPr/>
    </w:pPr>
    <w:r>
      <w:rPr>
        <w:rFonts w:eastAsia="Calibri" w:cs="Calibri"/>
        <w:b/>
        <w:bCs/>
        <w:color w:val="111827"/>
        <w:sz w:val="15"/>
        <w:szCs w:val="15"/>
      </w:rPr>
      <w:t>Imaarisha</w:t>
    </w:r>
    <w:r>
      <w:rPr>
        <w:rFonts w:eastAsia="Calibri" w:cs="Calibri"/>
        <w:b/>
        <w:bCs/>
        <w:color w:val="C6A15B"/>
        <w:sz w:val="15"/>
        <w:szCs w:val="15"/>
      </w:rPr>
      <w:t>SRHR</w:t>
    </w:r>
    <w:r>
      <w:rPr>
        <w:rFonts w:eastAsia="Calibri" w:cs="Calibri"/>
        <w:color w:val="8892B0"/>
        <w:sz w:val="15"/>
        <w:szCs w:val="15"/>
      </w:rPr>
      <w:t xml:space="preserve">   ·   Five Short Videos — Treatments &amp; Scripts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9DDE5"/>
      </w:pBdr>
      <w:spacing w:before="0" w:after="0"/>
      <w:rPr/>
    </w:pPr>
    <w:r>
      <w:rPr>
        <w:rFonts w:eastAsia="Calibri" w:cs="Calibri"/>
        <w:b/>
        <w:bCs/>
        <w:color w:val="111827"/>
        <w:sz w:val="15"/>
        <w:szCs w:val="15"/>
      </w:rPr>
      <w:t>Imaarisha</w:t>
    </w:r>
    <w:r>
      <w:rPr>
        <w:rFonts w:eastAsia="Calibri" w:cs="Calibri"/>
        <w:b/>
        <w:bCs/>
        <w:color w:val="C6A15B"/>
        <w:sz w:val="15"/>
        <w:szCs w:val="15"/>
      </w:rPr>
      <w:t>SRHR</w:t>
    </w:r>
    <w:r>
      <w:rPr>
        <w:rFonts w:eastAsia="Calibri" w:cs="Calibri"/>
        <w:color w:val="8892B0"/>
        <w:sz w:val="15"/>
        <w:szCs w:val="15"/>
      </w:rPr>
      <w:t xml:space="preserve">   ·   Five Short Videos — Treatments &amp; Scripts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00"/>
      </w:pPr>
      <w:rPr>
        <w:rFonts w:ascii="Symbol" w:hAnsi="Symbol" w:cs="Symbol" w:hint="default"/>
        <w:color w:val="C6A15B"/>
      </w:rPr>
    </w:lvl>
    <w:lvl w:ilvl="1">
      <w:start w:val="1"/>
      <w:numFmt w:val="bullet"/>
      <w:lvlText w:val=""/>
      <w:lvlJc w:val="left"/>
      <w:pPr>
        <w:tabs>
          <w:tab w:val="num" w:pos="0"/>
        </w:tabs>
        <w:ind w:left="720" w:hanging="200"/>
      </w:pPr>
      <w:rPr>
        <w:rFonts w:ascii="Symbol" w:hAnsi="Symbol" w:cs="Symbol" w:hint="default"/>
        <w:color w:val="C6A15B"/>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C3340"/>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C3340"/>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C3340"/>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C3340"/>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2026-09-11T18:30:10Z</dcterms:created>
  <dc:creator>Un-named</dc:creator>
  <dc:description/>
  <dc:language>en-US</dc:language>
  <cp:lastModifiedBy>Un-named</cp:lastModifiedBy>
  <dcterms:modified xsi:type="dcterms:W3CDTF">2026-09-11T18:30:10Z</dcterms:modified>
  <cp:revision>1</cp:revision>
  <dc:subject/>
  <dc:title/>
</cp:coreProperties>
</file>