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left"/>
        <w:tblInd w:w="0" w:type="dxa"/>
        <w:tblLayout w:type="fixed"/>
        <w:tblCellMar>
          <w:top w:w="520" w:type="dxa"/>
          <w:left w:w="360" w:type="dxa"/>
          <w:bottom w:w="520" w:type="dxa"/>
          <w:right w:w="360" w:type="dxa"/>
        </w:tblCellMar>
      </w:tblPr>
      <w:tblGrid>
        <w:gridCol w:w="9360"/>
      </w:tblGrid>
      <w:tr>
        <w:trPr/>
        <w:tc>
          <w:tcPr>
            <w:tcW w:w="9360" w:type="dxa"/>
            <w:tcBorders>
              <w:top w:val="single" w:sz="4" w:space="0" w:color="111827"/>
              <w:left w:val="single" w:sz="4" w:space="0" w:color="111827"/>
              <w:bottom w:val="single" w:sz="4" w:space="0" w:color="111827"/>
              <w:right w:val="single" w:sz="4" w:space="0" w:color="111827"/>
            </w:tcBorders>
            <w:shd w:fill="111827" w:val="clear"/>
          </w:tcPr>
          <w:p>
            <w:pPr>
              <w:pStyle w:val="Normal"/>
              <w:spacing w:before="0" w:after="200"/>
              <w:rPr/>
            </w:pPr>
            <w:r>
              <w:rPr>
                <w:rFonts w:eastAsia="Calibri" w:cs="Calibri"/>
                <w:b/>
                <w:bCs/>
                <w:color w:val="FFFFFF"/>
                <w:sz w:val="30"/>
                <w:szCs w:val="30"/>
              </w:rPr>
              <w:t>Imaarisha</w:t>
            </w:r>
            <w:r>
              <w:rPr>
                <w:rFonts w:eastAsia="Calibri" w:cs="Calibri"/>
                <w:b/>
                <w:bCs/>
                <w:color w:val="C6A15B"/>
                <w:sz w:val="30"/>
                <w:szCs w:val="30"/>
              </w:rPr>
              <w:t>SRHR</w:t>
            </w:r>
          </w:p>
          <w:p>
            <w:pPr>
              <w:pStyle w:val="Normal"/>
              <w:spacing w:before="0" w:after="60"/>
              <w:rPr/>
            </w:pPr>
            <w:r>
              <w:rPr>
                <w:rFonts w:eastAsia="Calibri" w:cs="Calibri"/>
                <w:b/>
                <w:bCs/>
                <w:color w:val="C6A15B"/>
                <w:spacing w:val="40"/>
                <w:sz w:val="18"/>
                <w:szCs w:val="18"/>
              </w:rPr>
              <w:t>PHASE 2 · MEDIA DEVELOPMENT · TOOLKIT 3 OF 3</w:t>
            </w:r>
          </w:p>
          <w:p>
            <w:pPr>
              <w:pStyle w:val="Normal"/>
              <w:spacing w:before="0" w:after="20"/>
              <w:rPr/>
            </w:pPr>
            <w:r>
              <w:rPr>
                <w:rFonts w:eastAsia="Calibri" w:cs="Calibri"/>
                <w:b/>
                <w:bCs/>
                <w:color w:val="FFFFFF"/>
                <w:sz w:val="46"/>
                <w:szCs w:val="46"/>
              </w:rPr>
              <w:t>The Podcast</w:t>
            </w:r>
          </w:p>
          <w:p>
            <w:pPr>
              <w:pStyle w:val="Normal"/>
              <w:spacing w:before="0" w:after="160"/>
              <w:rPr/>
            </w:pPr>
            <w:r>
              <w:rPr>
                <w:rFonts w:eastAsia="Calibri" w:cs="Calibri"/>
                <w:b/>
                <w:bCs/>
                <w:color w:val="FFFFFF"/>
                <w:sz w:val="46"/>
                <w:szCs w:val="46"/>
              </w:rPr>
              <w:t>A 5-Part Series</w:t>
            </w:r>
          </w:p>
          <w:p>
            <w:pPr>
              <w:pStyle w:val="Normal"/>
              <w:spacing w:before="0" w:after="220"/>
              <w:rPr/>
            </w:pPr>
            <w:r>
              <w:rPr>
                <w:rFonts w:eastAsia="Calibri" w:cs="Calibri"/>
                <w:color w:val="C9D1E0"/>
                <w:sz w:val="24"/>
                <w:szCs w:val="24"/>
              </w:rPr>
              <w:t>An evidence-based format for serialising the five ImaarishaSRHR videos into an always-on, multilingual, healthcare-professional-led conversation — grounded in the Phase 1 research and the science of trusted-messenger audio.</w:t>
            </w:r>
          </w:p>
          <w:p>
            <w:pPr>
              <w:pStyle w:val="Normal"/>
              <w:spacing w:before="0" w:after="40"/>
              <w:rPr/>
            </w:pPr>
            <w:r>
              <w:rPr>
                <w:rFonts w:eastAsia="Calibri" w:cs="Calibri"/>
                <w:color w:val="8892B0"/>
                <w:sz w:val="18"/>
                <w:szCs w:val="18"/>
              </w:rPr>
              <w:t>Community Media Trust (CoMeT)  ·  July 2026</w:t>
            </w:r>
          </w:p>
          <w:p>
            <w:pPr>
              <w:pStyle w:val="Normal"/>
              <w:spacing w:before="0" w:after="40"/>
              <w:rPr/>
            </w:pPr>
            <w:r>
              <w:rPr>
                <w:rFonts w:eastAsia="Calibri" w:cs="Calibri"/>
                <w:color w:val="8892B0"/>
                <w:sz w:val="18"/>
                <w:szCs w:val="18"/>
              </w:rPr>
              <w:t>Built on the ImaarishaSRHR Phase 1 evidence base and the wider research literature</w:t>
            </w:r>
          </w:p>
          <w:p>
            <w:pPr>
              <w:pStyle w:val="Normal"/>
              <w:spacing w:before="0" w:after="40"/>
              <w:rPr/>
            </w:pPr>
            <w:r>
              <w:rPr>
                <w:rFonts w:eastAsia="Calibri" w:cs="Calibri"/>
                <w:color w:val="8892B0"/>
                <w:sz w:val="18"/>
                <w:szCs w:val="18"/>
              </w:rPr>
              <w:t>imaarishasrhr.org  ·  #ImaarishaSRHR · #AmplifyChange</w:t>
            </w:r>
          </w:p>
        </w:tc>
      </w:tr>
    </w:tbl>
    <w:p>
      <w:pPr>
        <w:pStyle w:val="Normal"/>
        <w:spacing w:before="0" w:after="140"/>
        <w:rPr/>
      </w:pPr>
      <w:r>
        <w:rPr/>
      </w:r>
    </w:p>
    <w:p>
      <w:pPr>
        <w:pStyle w:val="Normal"/>
        <w:spacing w:lineRule="exact" w:line="264" w:before="0" w:after="120"/>
        <w:jc w:val="center"/>
        <w:rPr/>
      </w:pPr>
      <w:r>
        <w:rPr>
          <w:rFonts w:eastAsia="Calibri" w:cs="Calibri"/>
          <w:i/>
          <w:iCs/>
          <w:color w:val="8892B0"/>
          <w:sz w:val="18"/>
          <w:szCs w:val="18"/>
        </w:rPr>
        <w:t>Every design choice is anchored in evidence. Bracketed numbers [n] refer to the Sources list at the end.</w:t>
      </w:r>
      <w:r>
        <w:br w:type="page"/>
      </w:r>
    </w:p>
    <w:p>
      <w:pPr>
        <w:pStyle w:val="Normal"/>
        <w:keepNext w:val="true"/>
        <w:spacing w:before="0" w:after="40"/>
        <w:rPr/>
      </w:pPr>
      <w:r>
        <w:rPr>
          <w:rFonts w:eastAsia="Calibri" w:cs="Calibri"/>
          <w:b/>
          <w:bCs/>
          <w:color w:val="C6A15B"/>
          <w:spacing w:val="30"/>
          <w:sz w:val="16"/>
          <w:szCs w:val="16"/>
        </w:rPr>
        <w:t>THE EVIDENCE BEHIND THE FORMAT</w:t>
      </w:r>
    </w:p>
    <w:p>
      <w:pPr>
        <w:pStyle w:val="Heading1"/>
        <w:keepNext w:val="true"/>
        <w:pBdr>
          <w:bottom w:val="single" w:sz="12" w:space="6" w:color="C6A15B"/>
        </w:pBdr>
        <w:spacing w:before="320" w:after="140"/>
        <w:rPr/>
      </w:pPr>
      <w:r>
        <w:rPr>
          <w:rFonts w:eastAsia="Calibri" w:cs="Calibri" w:ascii="Calibri" w:hAnsi="Calibri"/>
          <w:b/>
          <w:bCs/>
          <w:color w:val="111827"/>
          <w:sz w:val="30"/>
          <w:szCs w:val="30"/>
        </w:rPr>
        <w:t>Why a podcast, and why this format</w:t>
      </w:r>
    </w:p>
    <w:p>
      <w:pPr>
        <w:pStyle w:val="Normal"/>
        <w:spacing w:lineRule="exact" w:line="268" w:before="0" w:after="120"/>
        <w:rPr/>
      </w:pPr>
      <w:r>
        <w:rPr>
          <w:rFonts w:eastAsia="Calibri" w:cs="Calibri"/>
          <w:color w:val="2C3340"/>
          <w:sz w:val="21"/>
          <w:szCs w:val="21"/>
        </w:rPr>
        <w:t>The five videos open doors in 90 seconds. The podcast is where the conversation actually happens — long enough to hold nuance, warm enough to build trust, and flexible enough to respond to whatever is spreading on the digital street that week. The format is not a stylistic preference; it is what the evidence prescribes.</w:t>
      </w:r>
      <w:r>
        <w:rPr>
          <w:rFonts w:eastAsia="Calibri" w:cs="Calibri"/>
          <w:b/>
          <w:bCs/>
          <w:color w:val="A8863F"/>
          <w:sz w:val="13"/>
          <w:szCs w:val="13"/>
          <w:vertAlign w:val="superscript"/>
        </w:rPr>
        <w:t xml:space="preserve"> [1]</w:t>
      </w:r>
    </w:p>
    <w:p>
      <w:pPr>
        <w:pStyle w:val="Normal"/>
        <w:spacing w:lineRule="exact" w:line="268" w:before="0" w:after="120"/>
        <w:rPr/>
      </w:pPr>
      <w:r>
        <w:rPr>
          <w:rFonts w:eastAsia="Calibri" w:cs="Calibri"/>
          <w:b w:val="false"/>
          <w:bCs w:val="false"/>
          <w:i w:val="false"/>
          <w:iCs w:val="false"/>
          <w:color w:val="2C3340"/>
          <w:sz w:val="21"/>
          <w:szCs w:val="21"/>
        </w:rPr>
        <w:t>The core finding is a paradox the podcast is built to solve: healthcare workers are the most trusted SRHR messengers (</w:t>
      </w:r>
      <w:r>
        <w:rPr>
          <w:rFonts w:eastAsia="Calibri" w:cs="Calibri"/>
          <w:b/>
          <w:bCs/>
          <w:i w:val="false"/>
          <w:iCs w:val="false"/>
          <w:color w:val="111827"/>
          <w:sz w:val="21"/>
          <w:szCs w:val="21"/>
        </w:rPr>
        <w:t>71%</w:t>
      </w:r>
      <w:r>
        <w:rPr>
          <w:rFonts w:eastAsia="Calibri" w:cs="Calibri"/>
          <w:b w:val="false"/>
          <w:bCs w:val="false"/>
          <w:i w:val="false"/>
          <w:iCs w:val="false"/>
          <w:color w:val="2C3340"/>
          <w:sz w:val="21"/>
          <w:szCs w:val="21"/>
        </w:rPr>
        <w:t xml:space="preserve">), yet only about a third of women had a substantive SRHR conversation with a provider in the past year. The most credible voices are </w:t>
      </w:r>
      <w:r>
        <w:rPr>
          <w:rFonts w:eastAsia="Calibri" w:cs="Calibri"/>
          <w:b/>
          <w:bCs/>
          <w:i w:val="false"/>
          <w:iCs w:val="false"/>
          <w:color w:val="111827"/>
          <w:sz w:val="21"/>
          <w:szCs w:val="21"/>
        </w:rPr>
        <w:t>largely silent</w:t>
      </w:r>
      <w:r>
        <w:rPr>
          <w:rFonts w:eastAsia="Calibri" w:cs="Calibri"/>
          <w:b w:val="false"/>
          <w:bCs w:val="false"/>
          <w:i w:val="false"/>
          <w:iCs w:val="false"/>
          <w:color w:val="2C3340"/>
          <w:sz w:val="21"/>
          <w:szCs w:val="21"/>
        </w:rPr>
        <w:t>. A recurring, healthcare-professional-led show gives those trusted voices a standing microphone — and a relationship the audience returns to.</w:t>
      </w:r>
      <w:r>
        <w:rPr>
          <w:rFonts w:eastAsia="Calibri" w:cs="Calibri"/>
          <w:b/>
          <w:bCs/>
          <w:color w:val="A8863F"/>
          <w:sz w:val="13"/>
          <w:szCs w:val="13"/>
          <w:vertAlign w:val="superscript"/>
        </w:rPr>
        <w:t xml:space="preserve"> [2,1]</w:t>
      </w:r>
    </w:p>
    <w:tbl>
      <w:tblPr>
        <w:tblW w:w="9360" w:type="dxa"/>
        <w:jc w:val="left"/>
        <w:tblInd w:w="0" w:type="dxa"/>
        <w:tblLayout w:type="fixed"/>
        <w:tblCellMar>
          <w:top w:w="130" w:type="dxa"/>
          <w:left w:w="120" w:type="dxa"/>
          <w:bottom w:w="130" w:type="dxa"/>
          <w:right w:w="120" w:type="dxa"/>
        </w:tblCellMar>
      </w:tblPr>
      <w:tblGrid>
        <w:gridCol w:w="3120"/>
        <w:gridCol w:w="3120"/>
        <w:gridCol w:w="3120"/>
      </w:tblGrid>
      <w:tr>
        <w:trPr/>
        <w:tc>
          <w:tcPr>
            <w:tcW w:w="3120" w:type="dxa"/>
            <w:tcBorders>
              <w:top w:val="single" w:sz="8" w:space="0" w:color="FFFFFF"/>
              <w:left w:val="single" w:sz="8" w:space="0" w:color="FFFFFF"/>
              <w:bottom w:val="single" w:sz="8" w:space="0" w:color="FFFFFF"/>
              <w:right w:val="single" w:sz="8" w:space="0" w:color="FFFFFF"/>
            </w:tcBorders>
            <w:shd w:fill="1A2035" w:val="clear"/>
          </w:tcPr>
          <w:p>
            <w:pPr>
              <w:pStyle w:val="Normal"/>
              <w:spacing w:before="0" w:after="20"/>
              <w:jc w:val="center"/>
              <w:rPr/>
            </w:pPr>
            <w:r>
              <w:rPr>
                <w:rFonts w:eastAsia="Calibri" w:cs="Calibri"/>
                <w:b/>
                <w:bCs/>
                <w:color w:val="C6A15B"/>
                <w:sz w:val="40"/>
                <w:szCs w:val="40"/>
              </w:rPr>
              <w:t>71%</w:t>
            </w:r>
          </w:p>
          <w:p>
            <w:pPr>
              <w:pStyle w:val="Normal"/>
              <w:spacing w:before="0" w:after="0"/>
              <w:jc w:val="center"/>
              <w:rPr/>
            </w:pPr>
            <w:r>
              <w:rPr>
                <w:rFonts w:eastAsia="Calibri" w:cs="Calibri"/>
                <w:color w:val="C9D1E0"/>
                <w:sz w:val="16"/>
                <w:szCs w:val="16"/>
              </w:rPr>
              <w:t>trust healthcare workers — the top SRHR messenger</w:t>
            </w:r>
          </w:p>
        </w:tc>
        <w:tc>
          <w:tcPr>
            <w:tcW w:w="3120" w:type="dxa"/>
            <w:tcBorders>
              <w:top w:val="single" w:sz="8" w:space="0" w:color="FFFFFF"/>
              <w:left w:val="single" w:sz="8" w:space="0" w:color="FFFFFF"/>
              <w:bottom w:val="single" w:sz="8" w:space="0" w:color="FFFFFF"/>
              <w:right w:val="single" w:sz="8" w:space="0" w:color="FFFFFF"/>
            </w:tcBorders>
            <w:shd w:fill="1A2035" w:val="clear"/>
          </w:tcPr>
          <w:p>
            <w:pPr>
              <w:pStyle w:val="Normal"/>
              <w:spacing w:before="0" w:after="20"/>
              <w:jc w:val="center"/>
              <w:rPr/>
            </w:pPr>
            <w:r>
              <w:rPr>
                <w:rFonts w:eastAsia="Calibri" w:cs="Calibri"/>
                <w:b/>
                <w:bCs/>
                <w:color w:val="C6A15B"/>
                <w:sz w:val="40"/>
                <w:szCs w:val="40"/>
              </w:rPr>
              <w:t>~34%</w:t>
            </w:r>
          </w:p>
          <w:p>
            <w:pPr>
              <w:pStyle w:val="Normal"/>
              <w:spacing w:before="0" w:after="0"/>
              <w:jc w:val="center"/>
              <w:rPr/>
            </w:pPr>
            <w:r>
              <w:rPr>
                <w:rFonts w:eastAsia="Calibri" w:cs="Calibri"/>
                <w:color w:val="C9D1E0"/>
                <w:sz w:val="16"/>
                <w:szCs w:val="16"/>
              </w:rPr>
              <w:t>of women had a real SRHR talk with a provider last year</w:t>
            </w:r>
          </w:p>
        </w:tc>
        <w:tc>
          <w:tcPr>
            <w:tcW w:w="3120" w:type="dxa"/>
            <w:tcBorders>
              <w:top w:val="single" w:sz="8" w:space="0" w:color="FFFFFF"/>
              <w:left w:val="single" w:sz="8" w:space="0" w:color="FFFFFF"/>
              <w:bottom w:val="single" w:sz="8" w:space="0" w:color="FFFFFF"/>
              <w:right w:val="single" w:sz="8" w:space="0" w:color="FFFFFF"/>
            </w:tcBorders>
            <w:shd w:fill="1A2035" w:val="clear"/>
          </w:tcPr>
          <w:p>
            <w:pPr>
              <w:pStyle w:val="Normal"/>
              <w:spacing w:before="0" w:after="20"/>
              <w:jc w:val="center"/>
              <w:rPr/>
            </w:pPr>
            <w:r>
              <w:rPr>
                <w:rFonts w:eastAsia="Calibri" w:cs="Calibri"/>
                <w:b/>
                <w:bCs/>
                <w:color w:val="C6A15B"/>
                <w:sz w:val="40"/>
                <w:szCs w:val="40"/>
              </w:rPr>
              <w:t>66%</w:t>
            </w:r>
          </w:p>
          <w:p>
            <w:pPr>
              <w:pStyle w:val="Normal"/>
              <w:spacing w:before="0" w:after="0"/>
              <w:jc w:val="center"/>
              <w:rPr/>
            </w:pPr>
            <w:r>
              <w:rPr>
                <w:rFonts w:eastAsia="Calibri" w:cs="Calibri"/>
                <w:color w:val="C9D1E0"/>
                <w:sz w:val="16"/>
                <w:szCs w:val="16"/>
              </w:rPr>
              <w:t>say online discussion influenced them or someone they know</w:t>
            </w:r>
          </w:p>
        </w:tc>
      </w:tr>
    </w:tbl>
    <w:p>
      <w:pPr>
        <w:pStyle w:val="Normal"/>
        <w:spacing w:before="0" w:after="40"/>
        <w:rPr/>
      </w:pPr>
      <w:r>
        <w:rPr/>
      </w:r>
    </w:p>
    <w:p>
      <w:pPr>
        <w:pStyle w:val="Normal"/>
        <w:spacing w:lineRule="exact" w:line="250" w:before="0" w:after="130"/>
        <w:rPr/>
      </w:pPr>
      <w:r>
        <w:rPr>
          <w:rFonts w:eastAsia="Calibri" w:cs="Calibri"/>
          <w:i/>
          <w:iCs/>
          <w:color w:val="8892B0"/>
          <w:sz w:val="15"/>
          <w:szCs w:val="15"/>
        </w:rPr>
        <w:t>Trust, provider contact and online influence: TIFA opinion poll and the research report</w:t>
      </w:r>
      <w:r>
        <w:rPr>
          <w:rFonts w:eastAsia="Calibri" w:cs="Calibri"/>
          <w:b/>
          <w:bCs/>
          <w:color w:val="A8863F"/>
          <w:sz w:val="13"/>
          <w:szCs w:val="13"/>
          <w:vertAlign w:val="superscript"/>
        </w:rPr>
        <w:t xml:space="preserve"> [2,1]</w:t>
      </w:r>
      <w:r>
        <w:rPr>
          <w:rFonts w:eastAsia="Calibri" w:cs="Calibri"/>
          <w:i/>
          <w:iCs/>
          <w:color w:val="8892B0"/>
          <w:sz w:val="15"/>
          <w:szCs w:val="15"/>
        </w:rPr>
        <w:t>.</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EAF1F6"/>
              <w:left w:val="single" w:sz="28" w:space="0" w:color="3C6E8F"/>
              <w:bottom w:val="single" w:sz="2" w:space="0" w:color="EAF1F6"/>
              <w:right w:val="single" w:sz="2" w:space="0" w:color="EAF1F6"/>
            </w:tcBorders>
            <w:shd w:fill="EAF1F6" w:val="clear"/>
          </w:tcPr>
          <w:p>
            <w:pPr>
              <w:pStyle w:val="Normal"/>
              <w:spacing w:before="0" w:after="70"/>
              <w:rPr/>
            </w:pPr>
            <w:r>
              <w:rPr>
                <w:rFonts w:eastAsia="Calibri" w:cs="Calibri"/>
                <w:b/>
                <w:bCs/>
                <w:color w:val="3C6E8F"/>
                <w:spacing w:val="36"/>
                <w:sz w:val="15"/>
                <w:szCs w:val="15"/>
              </w:rPr>
              <w:t>FRAMEWORK</w:t>
            </w:r>
            <w:r>
              <w:rPr>
                <w:rFonts w:eastAsia="Calibri" w:cs="Calibri"/>
                <w:b/>
                <w:bCs/>
                <w:color w:val="222B42"/>
                <w:sz w:val="20"/>
                <w:szCs w:val="20"/>
              </w:rPr>
              <w:t xml:space="preserve">   ·   Level 2 in the messenger architecture — and how audio bridges to Level 1</w:t>
            </w:r>
          </w:p>
          <w:p>
            <w:pPr>
              <w:pStyle w:val="Normal"/>
              <w:spacing w:lineRule="exact" w:line="266" w:before="0" w:after="0"/>
              <w:rPr/>
            </w:pPr>
            <w:r>
              <w:rPr>
                <w:rFonts w:eastAsia="Calibri" w:cs="Calibri"/>
                <w:b w:val="false"/>
                <w:bCs w:val="false"/>
                <w:i w:val="false"/>
                <w:iCs w:val="false"/>
                <w:color w:val="2C3340"/>
                <w:sz w:val="21"/>
                <w:szCs w:val="21"/>
              </w:rPr>
              <w:t xml:space="preserve">The Phase 1 messenger architecture places podcasts at </w:t>
            </w:r>
            <w:r>
              <w:rPr>
                <w:rFonts w:eastAsia="Calibri" w:cs="Calibri"/>
                <w:b/>
                <w:bCs/>
                <w:i w:val="false"/>
                <w:iCs w:val="false"/>
                <w:color w:val="2C3340"/>
                <w:sz w:val="21"/>
                <w:szCs w:val="21"/>
              </w:rPr>
              <w:t>Level 2</w:t>
            </w:r>
            <w:r>
              <w:rPr>
                <w:rFonts w:eastAsia="Calibri" w:cs="Calibri"/>
                <w:b w:val="false"/>
                <w:bCs w:val="false"/>
                <w:i w:val="false"/>
                <w:iCs w:val="false"/>
                <w:color w:val="2C3340"/>
                <w:sz w:val="21"/>
                <w:szCs w:val="21"/>
              </w:rPr>
              <w:t xml:space="preserve"> — the institutional, high-credibility layer of healthcare workers and educators, trusted but under-heard. A podcast is the natural home for that layer: it lets a clinician be authoritative </w:t>
            </w:r>
            <w:r>
              <w:rPr>
                <w:rFonts w:eastAsia="Calibri" w:cs="Calibri"/>
                <w:b w:val="false"/>
                <w:bCs w:val="false"/>
                <w:i/>
                <w:iCs/>
                <w:color w:val="2C3340"/>
                <w:sz w:val="21"/>
                <w:szCs w:val="21"/>
              </w:rPr>
              <w:t>and</w:t>
            </w:r>
            <w:r>
              <w:rPr>
                <w:rFonts w:eastAsia="Calibri" w:cs="Calibri"/>
                <w:b w:val="false"/>
                <w:bCs w:val="false"/>
                <w:i w:val="false"/>
                <w:iCs w:val="false"/>
                <w:color w:val="2C3340"/>
                <w:sz w:val="21"/>
                <w:szCs w:val="21"/>
              </w:rPr>
              <w:t xml:space="preserve"> human. Crucially, short clips from the show travel down into </w:t>
            </w:r>
            <w:r>
              <w:rPr>
                <w:rFonts w:eastAsia="Calibri" w:cs="Calibri"/>
                <w:b/>
                <w:bCs/>
                <w:i w:val="false"/>
                <w:iCs w:val="false"/>
                <w:color w:val="2C3340"/>
                <w:sz w:val="21"/>
                <w:szCs w:val="21"/>
              </w:rPr>
              <w:t>Level 1</w:t>
            </w:r>
            <w:r>
              <w:rPr>
                <w:rFonts w:eastAsia="Calibri" w:cs="Calibri"/>
                <w:b w:val="false"/>
                <w:bCs w:val="false"/>
                <w:i w:val="false"/>
                <w:iCs w:val="false"/>
                <w:color w:val="2C3340"/>
                <w:sz w:val="21"/>
                <w:szCs w:val="21"/>
              </w:rPr>
              <w:t xml:space="preserve"> — the intimate WhatsApp-and-radio channels where minds are actually changed. The long form builds trust; the clips do the travelling.</w:t>
            </w:r>
            <w:r>
              <w:rPr>
                <w:rFonts w:eastAsia="Calibri" w:cs="Calibri"/>
                <w:b/>
                <w:bCs/>
                <w:color w:val="A8863F"/>
                <w:sz w:val="13"/>
                <w:szCs w:val="13"/>
                <w:vertAlign w:val="superscript"/>
              </w:rPr>
              <w:t xml:space="preserve"> [1]</w:t>
            </w:r>
          </w:p>
        </w:tc>
      </w:tr>
    </w:tbl>
    <w:p>
      <w:pPr>
        <w:pStyle w:val="Normal"/>
        <w:spacing w:before="0" w:after="150"/>
        <w:rPr/>
      </w:pPr>
      <w:r>
        <w:rPr/>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EAF1F6"/>
              <w:left w:val="single" w:sz="28" w:space="0" w:color="3C6E8F"/>
              <w:bottom w:val="single" w:sz="2" w:space="0" w:color="EAF1F6"/>
              <w:right w:val="single" w:sz="2" w:space="0" w:color="EAF1F6"/>
            </w:tcBorders>
            <w:shd w:fill="EAF1F6" w:val="clear"/>
          </w:tcPr>
          <w:p>
            <w:pPr>
              <w:pStyle w:val="Normal"/>
              <w:spacing w:before="0" w:after="70"/>
              <w:rPr/>
            </w:pPr>
            <w:r>
              <w:rPr>
                <w:rFonts w:eastAsia="Calibri" w:cs="Calibri"/>
                <w:b/>
                <w:bCs/>
                <w:color w:val="3C6E8F"/>
                <w:spacing w:val="36"/>
                <w:sz w:val="15"/>
                <w:szCs w:val="15"/>
              </w:rPr>
              <w:t>FRAMEWORK</w:t>
            </w:r>
            <w:r>
              <w:rPr>
                <w:rFonts w:eastAsia="Calibri" w:cs="Calibri"/>
                <w:b/>
                <w:bCs/>
                <w:color w:val="222B42"/>
                <w:sz w:val="20"/>
                <w:szCs w:val="20"/>
              </w:rPr>
              <w:t xml:space="preserve">   ·   Serial audio as entertainment-education</w:t>
            </w:r>
          </w:p>
          <w:p>
            <w:pPr>
              <w:pStyle w:val="Normal"/>
              <w:spacing w:lineRule="exact" w:line="266" w:before="0" w:after="0"/>
              <w:rPr/>
            </w:pPr>
            <w:r>
              <w:rPr>
                <w:rFonts w:eastAsia="Calibri" w:cs="Calibri"/>
                <w:color w:val="2C3340"/>
                <w:sz w:val="20"/>
                <w:szCs w:val="20"/>
              </w:rPr>
              <w:t>Serialised audio is one of the oldest and best-evidenced vehicles for health behaviour change. A recurring cast the audience bonds with, real listener stories, and an unfolding conversation lower resistance and build self-efficacy in ways a one-off broadcast cannot — the same entertainment-education mechanism behind the video slate, extended over time. Narrative and testimony are among the online content types Kenyans said most influenced their SRHR decisions.</w:t>
            </w:r>
            <w:r>
              <w:rPr>
                <w:rFonts w:eastAsia="Calibri" w:cs="Calibri"/>
                <w:b/>
                <w:bCs/>
                <w:color w:val="A8863F"/>
                <w:sz w:val="13"/>
                <w:szCs w:val="13"/>
                <w:vertAlign w:val="superscript"/>
              </w:rPr>
              <w:t xml:space="preserve"> [5,8,2]</w:t>
            </w:r>
          </w:p>
        </w:tc>
      </w:tr>
    </w:tbl>
    <w:p>
      <w:pPr>
        <w:pStyle w:val="Normal"/>
        <w:spacing w:before="0" w:after="150"/>
        <w:rPr/>
      </w:pPr>
      <w:r>
        <w:rPr/>
      </w:r>
    </w:p>
    <w:p>
      <w:pPr>
        <w:pStyle w:val="Heading2"/>
        <w:keepNext w:val="true"/>
        <w:spacing w:before="240" w:after="100"/>
        <w:rPr/>
      </w:pPr>
      <w:r>
        <w:rPr>
          <w:rFonts w:eastAsia="Calibri" w:cs="Calibri" w:ascii="Calibri" w:hAnsi="Calibri"/>
          <w:b/>
          <w:bCs/>
          <w:color w:val="222B42"/>
          <w:sz w:val="25"/>
          <w:szCs w:val="25"/>
        </w:rPr>
        <w:t>The cast — the same world as the toolkit and videos</w:t>
      </w:r>
    </w:p>
    <w:p>
      <w:pPr>
        <w:pStyle w:val="Normal"/>
        <w:spacing w:lineRule="exact" w:line="268" w:before="0" w:after="120"/>
        <w:rPr/>
      </w:pPr>
      <w:r>
        <w:rPr>
          <w:rFonts w:eastAsia="Calibri" w:cs="Calibri"/>
          <w:color w:val="2C3340"/>
          <w:sz w:val="21"/>
          <w:szCs w:val="21"/>
        </w:rPr>
        <w:t>The podcast uses the same recurring characters as the Strategic Comms toolkit and the video slate, so a listener who met Nurse Wanjiru in a 90-second film now hears her for half an hour. The two hosts are drawn from that world: Nurse Wanjiru, the trusted clinician, and Kevo, Agneta’s cousin and a Sheng-speaking creator, as the peer co-host. Guests are the family and community the series already knows.</w:t>
      </w:r>
      <w:r>
        <w:rPr>
          <w:rFonts w:eastAsia="Calibri" w:cs="Calibri"/>
          <w:b/>
          <w:bCs/>
          <w:color w:val="A8863F"/>
          <w:sz w:val="13"/>
          <w:szCs w:val="13"/>
          <w:vertAlign w:val="superscript"/>
        </w:rPr>
        <w:t xml:space="preserve"> [1]</w:t>
      </w:r>
    </w:p>
    <w:tbl>
      <w:tblPr>
        <w:tblW w:w="9360" w:type="dxa"/>
        <w:jc w:val="left"/>
        <w:tblInd w:w="0" w:type="dxa"/>
        <w:tblLayout w:type="fixed"/>
        <w:tblCellMar>
          <w:top w:w="90" w:type="dxa"/>
          <w:left w:w="130" w:type="dxa"/>
          <w:bottom w:w="90" w:type="dxa"/>
          <w:right w:w="130" w:type="dxa"/>
        </w:tblCellMar>
      </w:tblPr>
      <w:tblGrid>
        <w:gridCol w:w="1699"/>
        <w:gridCol w:w="3561"/>
        <w:gridCol w:w="4100"/>
      </w:tblGrid>
      <w:tr>
        <w:trPr>
          <w:tblHeader w:val="true"/>
        </w:trPr>
        <w:tc>
          <w:tcPr>
            <w:tcW w:w="1699"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5"/>
                <w:szCs w:val="15"/>
              </w:rPr>
              <w:t>On the mic</w:t>
            </w:r>
          </w:p>
        </w:tc>
        <w:tc>
          <w:tcPr>
            <w:tcW w:w="3561"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5"/>
                <w:szCs w:val="15"/>
              </w:rPr>
              <w:t>Who</w:t>
            </w:r>
          </w:p>
        </w:tc>
        <w:tc>
          <w:tcPr>
            <w:tcW w:w="410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5"/>
                <w:szCs w:val="15"/>
              </w:rPr>
              <w:t>Their role in the show</w:t>
            </w:r>
          </w:p>
        </w:tc>
      </w:tr>
      <w:tr>
        <w:trPr/>
        <w:tc>
          <w:tcPr>
            <w:tcW w:w="16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Host 1</w:t>
            </w:r>
          </w:p>
        </w:tc>
        <w:tc>
          <w:tcPr>
            <w:tcW w:w="356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Nurse Wanjiru, 34 — clinical officer</w:t>
            </w:r>
          </w:p>
        </w:tc>
        <w:tc>
          <w:tcPr>
            <w:tcW w:w="4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The trusted authority (71%), made human and familiar week to week.</w:t>
            </w:r>
          </w:p>
        </w:tc>
      </w:tr>
      <w:tr>
        <w:trPr/>
        <w:tc>
          <w:tcPr>
            <w:tcW w:w="16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Host 2</w:t>
            </w:r>
          </w:p>
        </w:tc>
        <w:tc>
          <w:tcPr>
            <w:tcW w:w="356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Kevo, 22 — Sheng TikTok creator</w:t>
            </w:r>
          </w:p>
        </w:tc>
        <w:tc>
          <w:tcPr>
            <w:tcW w:w="41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The peer who asks what listeners are really thinking; keeps it local.</w:t>
            </w:r>
          </w:p>
        </w:tc>
      </w:tr>
      <w:tr>
        <w:trPr/>
        <w:tc>
          <w:tcPr>
            <w:tcW w:w="16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Recurring guests</w:t>
            </w:r>
          </w:p>
        </w:tc>
        <w:tc>
          <w:tcPr>
            <w:tcW w:w="356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Aunty Beth, Brenda, Rev. Otieno, Uncle Silas, Cucu</w:t>
            </w:r>
          </w:p>
        </w:tc>
        <w:tc>
          <w:tcPr>
            <w:tcW w:w="4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The champion aunty, the survivor-advocate, the faith ally, the relative who forwarded the myth, the rural matriarch.</w:t>
            </w:r>
          </w:p>
        </w:tc>
      </w:tr>
    </w:tbl>
    <w:p>
      <w:pPr>
        <w:pStyle w:val="Normal"/>
        <w:spacing w:lineRule="exact" w:line="250" w:before="0" w:after="130"/>
        <w:rPr/>
      </w:pPr>
      <w:r>
        <w:rPr>
          <w:rFonts w:eastAsia="Calibri" w:cs="Calibri"/>
          <w:i/>
          <w:iCs/>
          <w:color w:val="8892B0"/>
          <w:sz w:val="15"/>
          <w:szCs w:val="15"/>
        </w:rPr>
        <w:t>Characters are composites from the Phase 1 research — see the toolkit’s character bible</w:t>
      </w:r>
      <w:r>
        <w:rPr>
          <w:rFonts w:eastAsia="Calibri" w:cs="Calibri"/>
          <w:b/>
          <w:bCs/>
          <w:color w:val="A8863F"/>
          <w:sz w:val="13"/>
          <w:szCs w:val="13"/>
          <w:vertAlign w:val="superscript"/>
        </w:rPr>
        <w:t xml:space="preserve"> [1]</w:t>
      </w:r>
      <w:r>
        <w:rPr>
          <w:rFonts w:eastAsia="Calibri" w:cs="Calibri"/>
          <w:i/>
          <w:iCs/>
          <w:color w:val="8892B0"/>
          <w:sz w:val="15"/>
          <w:szCs w:val="15"/>
        </w:rPr>
        <w:t>.</w:t>
      </w:r>
    </w:p>
    <w:p>
      <w:pPr>
        <w:pStyle w:val="Heading2"/>
        <w:keepNext w:val="true"/>
        <w:spacing w:before="240" w:after="100"/>
        <w:rPr/>
      </w:pPr>
      <w:r>
        <w:rPr>
          <w:rFonts w:eastAsia="Calibri" w:cs="Calibri" w:ascii="Calibri" w:hAnsi="Calibri"/>
          <w:b/>
          <w:bCs/>
          <w:color w:val="222B42"/>
          <w:sz w:val="25"/>
          <w:szCs w:val="25"/>
        </w:rPr>
        <w:t>Format at a glance</w:t>
      </w:r>
    </w:p>
    <w:tbl>
      <w:tblPr>
        <w:tblW w:w="9360" w:type="dxa"/>
        <w:jc w:val="left"/>
        <w:tblInd w:w="0" w:type="dxa"/>
        <w:tblLayout w:type="fixed"/>
        <w:tblCellMar>
          <w:top w:w="90" w:type="dxa"/>
          <w:left w:w="130" w:type="dxa"/>
          <w:bottom w:w="90" w:type="dxa"/>
          <w:right w:w="130" w:type="dxa"/>
        </w:tblCellMar>
      </w:tblPr>
      <w:tblGrid>
        <w:gridCol w:w="2100"/>
        <w:gridCol w:w="7259"/>
      </w:tblGrid>
      <w:tr>
        <w:trPr>
          <w:tblHeader w:val="true"/>
        </w:trPr>
        <w:tc>
          <w:tcPr>
            <w:tcW w:w="2100" w:type="dxa"/>
            <w:tcBorders>
              <w:top w:val="single" w:sz="4" w:space="0" w:color="D9DDE5"/>
              <w:left w:val="single" w:sz="4" w:space="0" w:color="D9DDE5"/>
              <w:bottom w:val="single" w:sz="4" w:space="0" w:color="D9DDE5"/>
              <w:right w:val="single" w:sz="4" w:space="0" w:color="D9DDE5"/>
            </w:tcBorders>
            <w:shd w:fill="222B42" w:val="clear"/>
          </w:tcPr>
          <w:p>
            <w:pPr>
              <w:pStyle w:val="Normal"/>
              <w:spacing w:lineRule="exact" w:line="252" w:before="0" w:after="0"/>
              <w:jc w:val="left"/>
              <w:rPr/>
            </w:pPr>
            <w:r>
              <w:rPr>
                <w:rFonts w:eastAsia="Calibri" w:cs="Calibri"/>
                <w:b/>
                <w:bCs/>
                <w:color w:val="FFFFFF"/>
                <w:sz w:val="19"/>
                <w:szCs w:val="19"/>
              </w:rPr>
              <w:t>Field</w:t>
            </w:r>
          </w:p>
        </w:tc>
        <w:tc>
          <w:tcPr>
            <w:tcW w:w="7259" w:type="dxa"/>
            <w:tcBorders>
              <w:top w:val="single" w:sz="4" w:space="0" w:color="D9DDE5"/>
              <w:left w:val="single" w:sz="4" w:space="0" w:color="D9DDE5"/>
              <w:bottom w:val="single" w:sz="4" w:space="0" w:color="D9DDE5"/>
              <w:right w:val="single" w:sz="4" w:space="0" w:color="D9DDE5"/>
            </w:tcBorders>
            <w:shd w:fill="222B42" w:val="clear"/>
          </w:tcPr>
          <w:p>
            <w:pPr>
              <w:pStyle w:val="Normal"/>
              <w:spacing w:lineRule="exact" w:line="252" w:before="0" w:after="0"/>
              <w:jc w:val="left"/>
              <w:rPr/>
            </w:pPr>
            <w:r>
              <w:rPr>
                <w:rFonts w:eastAsia="Calibri" w:cs="Calibri"/>
                <w:b/>
                <w:bCs/>
                <w:color w:val="FFFFFF"/>
                <w:sz w:val="19"/>
                <w:szCs w:val="19"/>
              </w:rPr>
              <w:t>Detail</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Series title (suggested)</w:t>
            </w:r>
          </w:p>
        </w:tc>
        <w:tc>
          <w:tcPr>
            <w:tcW w:w="7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w:t>
            </w:r>
            <w:r>
              <w:rPr>
                <w:rFonts w:eastAsia="Calibri" w:cs="Calibri"/>
                <w:b w:val="false"/>
                <w:bCs w:val="false"/>
                <w:color w:val="2C3340"/>
                <w:sz w:val="19"/>
                <w:szCs w:val="19"/>
              </w:rPr>
              <w:t>Imaarisha Conversations” — the ImaarishaSRHR podcast (working title)</w:t>
            </w:r>
          </w:p>
        </w:tc>
      </w:tr>
      <w:tr>
        <w:trPr/>
        <w:tc>
          <w:tcPr>
            <w:tcW w:w="21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Structure</w:t>
            </w:r>
          </w:p>
        </w:tc>
        <w:tc>
          <w:tcPr>
            <w:tcW w:w="72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5-part core series, each episode anchored to one of the five videos; then always-on</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Episode length</w:t>
            </w:r>
          </w:p>
        </w:tc>
        <w:tc>
          <w:tcPr>
            <w:tcW w:w="7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25–35 minutes (core); 8–12 minute “clip-cast” cutdowns</w:t>
            </w:r>
          </w:p>
        </w:tc>
      </w:tr>
      <w:tr>
        <w:trPr/>
        <w:tc>
          <w:tcPr>
            <w:tcW w:w="21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Hosts</w:t>
            </w:r>
          </w:p>
        </w:tc>
        <w:tc>
          <w:tcPr>
            <w:tcW w:w="72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Nurse Wanjiru (clinician) + Kevo (community peer co-host) — recurring duo</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Guests</w:t>
            </w:r>
          </w:p>
        </w:tc>
        <w:tc>
          <w:tcPr>
            <w:tcW w:w="7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Rotating: clinicians, survivor-advocates, champion older women, youth creators, faith allies</w:t>
            </w:r>
          </w:p>
        </w:tc>
      </w:tr>
      <w:tr>
        <w:trPr/>
        <w:tc>
          <w:tcPr>
            <w:tcW w:w="21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Languages</w:t>
            </w:r>
          </w:p>
        </w:tc>
        <w:tc>
          <w:tcPr>
            <w:tcW w:w="72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Primarily Kiswahili, with English and Sheng segments matched to episode audience</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Cadence</w:t>
            </w:r>
          </w:p>
        </w:tc>
        <w:tc>
          <w:tcPr>
            <w:tcW w:w="7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Weekly or fortnightly for the 5-part launch; then responsive / always-on</w:t>
            </w:r>
          </w:p>
        </w:tc>
      </w:tr>
      <w:tr>
        <w:trPr/>
        <w:tc>
          <w:tcPr>
            <w:tcW w:w="21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Distribution</w:t>
            </w:r>
          </w:p>
        </w:tc>
        <w:tc>
          <w:tcPr>
            <w:tcW w:w="72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Spotify · YouTube · Apple Podcasts · WhatsApp (clips) · community radio</w:t>
            </w:r>
          </w:p>
        </w:tc>
      </w:tr>
    </w:tbl>
    <w:p>
      <w:pPr>
        <w:pStyle w:val="Normal"/>
        <w:keepNext w:val="true"/>
        <w:spacing w:before="0" w:after="40"/>
        <w:rPr/>
      </w:pPr>
      <w:r>
        <w:br w:type="page"/>
      </w:r>
      <w:r>
        <w:rPr>
          <w:rFonts w:eastAsia="Calibri" w:cs="Calibri"/>
          <w:b/>
          <w:bCs/>
          <w:color w:val="C6A15B"/>
          <w:spacing w:val="30"/>
          <w:sz w:val="16"/>
          <w:szCs w:val="16"/>
        </w:rPr>
        <w:t>HOSTING &amp; ROLES</w:t>
      </w:r>
    </w:p>
    <w:p>
      <w:pPr>
        <w:pStyle w:val="Heading1"/>
        <w:keepNext w:val="true"/>
        <w:pBdr>
          <w:bottom w:val="single" w:sz="12" w:space="6" w:color="C6A15B"/>
        </w:pBdr>
        <w:spacing w:before="320" w:after="140"/>
        <w:rPr/>
      </w:pPr>
      <w:r>
        <w:rPr>
          <w:rFonts w:eastAsia="Calibri" w:cs="Calibri" w:ascii="Calibri" w:hAnsi="Calibri"/>
          <w:b/>
          <w:bCs/>
          <w:color w:val="111827"/>
          <w:sz w:val="30"/>
          <w:szCs w:val="30"/>
        </w:rPr>
        <w:t>The two-host model</w:t>
      </w:r>
    </w:p>
    <w:p>
      <w:pPr>
        <w:pStyle w:val="Normal"/>
        <w:spacing w:lineRule="exact" w:line="268" w:before="0" w:after="120"/>
        <w:rPr/>
      </w:pPr>
      <w:r>
        <w:rPr>
          <w:rFonts w:eastAsia="Calibri" w:cs="Calibri"/>
          <w:color w:val="2C3340"/>
          <w:sz w:val="21"/>
          <w:szCs w:val="21"/>
        </w:rPr>
        <w:t>The heart of the format is a recurring pair whose dynamic embodies the reframing strategy: authority made human, and rights approached through everyday life. The pairing is evidence-led — it puts the most-trusted messenger (the clinician) beside the most-relatable one (the peer), covering both credibility and identification.</w:t>
      </w:r>
      <w:r>
        <w:rPr>
          <w:rFonts w:eastAsia="Calibri" w:cs="Calibri"/>
          <w:b/>
          <w:bCs/>
          <w:color w:val="A8863F"/>
          <w:sz w:val="13"/>
          <w:szCs w:val="13"/>
          <w:vertAlign w:val="superscript"/>
        </w:rPr>
        <w:t xml:space="preserve"> [2,5]</w:t>
      </w:r>
    </w:p>
    <w:p>
      <w:pPr>
        <w:pStyle w:val="Heading3"/>
        <w:keepNext w:val="true"/>
        <w:spacing w:before="180" w:after="70"/>
        <w:rPr/>
      </w:pPr>
      <w:r>
        <w:rPr>
          <w:rFonts w:eastAsia="Calibri" w:cs="Calibri" w:ascii="Calibri" w:hAnsi="Calibri"/>
          <w:b/>
          <w:bCs/>
          <w:color w:val="A8863F"/>
          <w:sz w:val="22"/>
          <w:szCs w:val="22"/>
        </w:rPr>
        <w:t>Host 1 — Nurse Wanjiru (the healthcare professional)</w:t>
      </w:r>
    </w:p>
    <w:p>
      <w:pPr>
        <w:pStyle w:val="Normal"/>
        <w:spacing w:lineRule="exact" w:line="264" w:before="0" w:after="120"/>
        <w:jc w:val="left"/>
        <w:rPr/>
      </w:pPr>
      <w:r>
        <w:rPr>
          <w:rFonts w:eastAsia="Calibri" w:cs="Calibri"/>
          <w:b w:val="false"/>
          <w:bCs w:val="false"/>
          <w:i w:val="false"/>
          <w:iCs w:val="false"/>
          <w:caps w:val="false"/>
          <w:smallCaps w:val="false"/>
          <w:color w:val="2C3340"/>
          <w:sz w:val="21"/>
          <w:szCs w:val="21"/>
        </w:rPr>
        <w:t>Our recurring clinician — a real, named clinical officer carrying the credibility the data say audiences trust most, and the same Wanjiru listeners meet in the videos and the toolkit. Her job is to answer clearly, correct myths without condescension (the truth-sandwich structure), and stay human — the opposite of a lecture. The recurring presence builds a relationship: listeners come to trust one familiar clinician over time.</w:t>
      </w:r>
    </w:p>
    <w:p>
      <w:pPr>
        <w:pStyle w:val="Heading3"/>
        <w:keepNext w:val="true"/>
        <w:spacing w:before="180" w:after="70"/>
        <w:rPr/>
      </w:pPr>
      <w:r>
        <w:rPr>
          <w:rFonts w:eastAsia="Calibri" w:cs="Calibri" w:ascii="Calibri" w:hAnsi="Calibri"/>
          <w:b/>
          <w:bCs/>
          <w:color w:val="A8863F"/>
          <w:sz w:val="22"/>
          <w:szCs w:val="22"/>
        </w:rPr>
        <w:t>Host 2 — Kevo (the community peer co-host)</w:t>
      </w:r>
    </w:p>
    <w:p>
      <w:pPr>
        <w:pStyle w:val="Normal"/>
        <w:spacing w:lineRule="exact" w:line="264" w:before="0" w:after="120"/>
        <w:jc w:val="left"/>
        <w:rPr/>
      </w:pPr>
      <w:r>
        <w:rPr>
          <w:rFonts w:eastAsia="Calibri" w:cs="Calibri"/>
          <w:b w:val="false"/>
          <w:bCs w:val="false"/>
          <w:i w:val="false"/>
          <w:iCs w:val="false"/>
          <w:caps w:val="false"/>
          <w:smallCaps w:val="false"/>
          <w:color w:val="2C3340"/>
          <w:sz w:val="21"/>
          <w:szCs w:val="21"/>
        </w:rPr>
        <w:t>Agneta’s cousin and a Sheng-speaking creator, Kevo is the relatable non-expert who asks the questions listeners are actually thinking, keeps the language plain and local, brings Sheng and humour, and represents the audience in the room. He translates between clinician and community — and models that it is normal to ask.</w:t>
      </w:r>
    </w:p>
    <w:p>
      <w:pPr>
        <w:pStyle w:val="Heading3"/>
        <w:keepNext w:val="true"/>
        <w:spacing w:before="180" w:after="70"/>
        <w:rPr/>
      </w:pPr>
      <w:r>
        <w:rPr>
          <w:rFonts w:eastAsia="Calibri" w:cs="Calibri" w:ascii="Calibri" w:hAnsi="Calibri"/>
          <w:b/>
          <w:bCs/>
          <w:color w:val="A8863F"/>
          <w:sz w:val="22"/>
          <w:szCs w:val="22"/>
        </w:rPr>
        <w:t>Rotating guest voices</w:t>
      </w:r>
    </w:p>
    <w:tbl>
      <w:tblPr>
        <w:tblW w:w="9360" w:type="dxa"/>
        <w:jc w:val="left"/>
        <w:tblInd w:w="0" w:type="dxa"/>
        <w:tblLayout w:type="fixed"/>
        <w:tblCellMar>
          <w:top w:w="90" w:type="dxa"/>
          <w:left w:w="130" w:type="dxa"/>
          <w:bottom w:w="90" w:type="dxa"/>
          <w:right w:w="130" w:type="dxa"/>
        </w:tblCellMar>
      </w:tblPr>
      <w:tblGrid>
        <w:gridCol w:w="2299"/>
        <w:gridCol w:w="4460"/>
        <w:gridCol w:w="2601"/>
      </w:tblGrid>
      <w:tr>
        <w:trPr>
          <w:tblHeader w:val="true"/>
        </w:trPr>
        <w:tc>
          <w:tcPr>
            <w:tcW w:w="2299"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6"/>
                <w:szCs w:val="16"/>
              </w:rPr>
              <w:t>Guest type</w:t>
            </w:r>
          </w:p>
        </w:tc>
        <w:tc>
          <w:tcPr>
            <w:tcW w:w="446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6"/>
                <w:szCs w:val="16"/>
              </w:rPr>
              <w:t>Brings</w:t>
            </w:r>
          </w:p>
        </w:tc>
        <w:tc>
          <w:tcPr>
            <w:tcW w:w="2601"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6"/>
                <w:szCs w:val="16"/>
              </w:rPr>
              <w:t>Evidence link</w:t>
            </w:r>
          </w:p>
        </w:tc>
      </w:tr>
      <w:tr>
        <w:trPr/>
        <w:tc>
          <w:tcPr>
            <w:tcW w:w="22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Survivor-advocate</w:t>
            </w:r>
          </w:p>
        </w:tc>
        <w:tc>
          <w:tcPr>
            <w:tcW w:w="44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Lived-experience testimony (narrative persuasion; safeguarded)</w:t>
            </w:r>
          </w:p>
        </w:tc>
        <w:tc>
          <w:tcPr>
            <w:tcW w:w="260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Narrative review; survivor-storytelling ethics</w:t>
            </w:r>
          </w:p>
        </w:tc>
      </w:tr>
      <w:tr>
        <w:trPr/>
        <w:tc>
          <w:tcPr>
            <w:tcW w:w="22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Champion older woman</w:t>
            </w:r>
          </w:p>
        </w:tc>
        <w:tc>
          <w:tcPr>
            <w:tcW w:w="44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The Mother &amp; Aunty perspective and new scripts</w:t>
            </w:r>
          </w:p>
        </w:tc>
        <w:tc>
          <w:tcPr>
            <w:tcW w:w="260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Older-women influence (67%)</w:t>
            </w:r>
          </w:p>
        </w:tc>
      </w:tr>
      <w:tr>
        <w:trPr/>
        <w:tc>
          <w:tcPr>
            <w:tcW w:w="22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Youth creator</w:t>
            </w:r>
          </w:p>
        </w:tc>
        <w:tc>
          <w:tcPr>
            <w:tcW w:w="44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Sheng, digital-native framing, the 18–24 lens</w:t>
            </w:r>
          </w:p>
        </w:tc>
        <w:tc>
          <w:tcPr>
            <w:tcW w:w="260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Sheng outperforms English ~3:1</w:t>
            </w:r>
          </w:p>
        </w:tc>
      </w:tr>
      <w:tr>
        <w:trPr/>
        <w:tc>
          <w:tcPr>
            <w:tcW w:w="22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Faith ally</w:t>
            </w:r>
          </w:p>
        </w:tc>
        <w:tc>
          <w:tcPr>
            <w:tcW w:w="44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Pre-emptive, common-ground faith engagement</w:t>
            </w:r>
          </w:p>
        </w:tc>
        <w:tc>
          <w:tcPr>
            <w:tcW w:w="260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CHAK faith-FP evidence</w:t>
            </w:r>
          </w:p>
        </w:tc>
      </w:tr>
      <w:tr>
        <w:trPr/>
        <w:tc>
          <w:tcPr>
            <w:tcW w:w="22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Male champion</w:t>
            </w:r>
          </w:p>
        </w:tc>
        <w:tc>
          <w:tcPr>
            <w:tcW w:w="44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Shared decision-making from a man’s voice</w:t>
            </w:r>
          </w:p>
        </w:tc>
        <w:tc>
          <w:tcPr>
            <w:tcW w:w="260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Shared-decision framing moves men (53%)</w:t>
            </w:r>
          </w:p>
        </w:tc>
      </w:tr>
    </w:tbl>
    <w:p>
      <w:pPr>
        <w:pStyle w:val="Normal"/>
        <w:spacing w:lineRule="exact" w:line="250" w:before="0" w:after="130"/>
        <w:rPr/>
      </w:pPr>
      <w:r>
        <w:rPr>
          <w:rFonts w:eastAsia="Calibri" w:cs="Calibri"/>
          <w:i/>
          <w:iCs/>
          <w:color w:val="8892B0"/>
          <w:sz w:val="15"/>
          <w:szCs w:val="15"/>
        </w:rPr>
        <w:t>Guest logic: TIFA, the research report, narrative research and the CHAK evaluation</w:t>
      </w:r>
      <w:r>
        <w:rPr>
          <w:rFonts w:eastAsia="Calibri" w:cs="Calibri"/>
          <w:b/>
          <w:bCs/>
          <w:color w:val="A8863F"/>
          <w:sz w:val="13"/>
          <w:szCs w:val="13"/>
          <w:vertAlign w:val="superscript"/>
        </w:rPr>
        <w:t xml:space="preserve"> [2,1,8,11]</w:t>
      </w:r>
      <w:r>
        <w:rPr>
          <w:rFonts w:eastAsia="Calibri" w:cs="Calibri"/>
          <w:i/>
          <w:iCs/>
          <w:color w:val="8892B0"/>
          <w:sz w:val="15"/>
          <w:szCs w:val="15"/>
        </w:rPr>
        <w:t>.</w:t>
      </w:r>
      <w:r>
        <w:br w:type="page"/>
      </w:r>
    </w:p>
    <w:p>
      <w:pPr>
        <w:pStyle w:val="Normal"/>
        <w:keepNext w:val="true"/>
        <w:spacing w:before="0" w:after="40"/>
        <w:rPr/>
      </w:pPr>
      <w:r>
        <w:rPr>
          <w:rFonts w:eastAsia="Calibri" w:cs="Calibri"/>
          <w:b/>
          <w:bCs/>
          <w:color w:val="C6A15B"/>
          <w:spacing w:val="30"/>
          <w:sz w:val="16"/>
          <w:szCs w:val="16"/>
        </w:rPr>
        <w:t>EPISODE STRUCTURE</w:t>
      </w:r>
    </w:p>
    <w:p>
      <w:pPr>
        <w:pStyle w:val="Heading1"/>
        <w:keepNext w:val="true"/>
        <w:pBdr>
          <w:bottom w:val="single" w:sz="12" w:space="6" w:color="C6A15B"/>
        </w:pBdr>
        <w:spacing w:before="320" w:after="140"/>
        <w:rPr/>
      </w:pPr>
      <w:r>
        <w:rPr>
          <w:rFonts w:eastAsia="Calibri" w:cs="Calibri" w:ascii="Calibri" w:hAnsi="Calibri"/>
          <w:b/>
          <w:bCs/>
          <w:color w:val="111827"/>
          <w:sz w:val="30"/>
          <w:szCs w:val="30"/>
        </w:rPr>
        <w:t>The repeatable run-of-show</w:t>
      </w:r>
    </w:p>
    <w:p>
      <w:pPr>
        <w:pStyle w:val="Normal"/>
        <w:spacing w:lineRule="exact" w:line="268" w:before="0" w:after="120"/>
        <w:rPr/>
      </w:pPr>
      <w:r>
        <w:rPr>
          <w:rFonts w:eastAsia="Calibri" w:cs="Calibri"/>
          <w:color w:val="2C3340"/>
          <w:sz w:val="21"/>
          <w:szCs w:val="21"/>
        </w:rPr>
        <w:t>Every episode uses the same segment skeleton. Consistency makes the series easy to produce, easy to follow, and easy to clip. The order follows the toolkit’s values-framing sequence: open on real life, move through the facts, arrive at action.</w:t>
      </w:r>
      <w:r>
        <w:rPr>
          <w:rFonts w:eastAsia="Calibri" w:cs="Calibri"/>
          <w:b/>
          <w:bCs/>
          <w:color w:val="A8863F"/>
          <w:sz w:val="13"/>
          <w:szCs w:val="13"/>
          <w:vertAlign w:val="superscript"/>
        </w:rPr>
        <w:t xml:space="preserve"> [1]</w:t>
      </w:r>
    </w:p>
    <w:tbl>
      <w:tblPr>
        <w:tblW w:w="9360" w:type="dxa"/>
        <w:jc w:val="left"/>
        <w:tblInd w:w="0" w:type="dxa"/>
        <w:tblLayout w:type="fixed"/>
        <w:tblCellMar>
          <w:top w:w="90" w:type="dxa"/>
          <w:left w:w="130" w:type="dxa"/>
          <w:bottom w:w="90" w:type="dxa"/>
          <w:right w:w="130" w:type="dxa"/>
        </w:tblCellMar>
      </w:tblPr>
      <w:tblGrid>
        <w:gridCol w:w="2500"/>
        <w:gridCol w:w="1200"/>
        <w:gridCol w:w="5660"/>
      </w:tblGrid>
      <w:tr>
        <w:trPr>
          <w:tblHeader w:val="true"/>
        </w:trPr>
        <w:tc>
          <w:tcPr>
            <w:tcW w:w="250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8"/>
                <w:szCs w:val="18"/>
              </w:rPr>
              <w:t>Segment</w:t>
            </w:r>
          </w:p>
        </w:tc>
        <w:tc>
          <w:tcPr>
            <w:tcW w:w="120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8"/>
                <w:szCs w:val="18"/>
              </w:rPr>
              <w:t>Time</w:t>
            </w:r>
          </w:p>
        </w:tc>
        <w:tc>
          <w:tcPr>
            <w:tcW w:w="566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8"/>
                <w:szCs w:val="18"/>
              </w:rPr>
              <w:t>What happens</w:t>
            </w:r>
          </w:p>
        </w:tc>
      </w:tr>
      <w:tr>
        <w:trPr/>
        <w:tc>
          <w:tcPr>
            <w:tcW w:w="25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Cold open + hook</w:t>
            </w:r>
          </w:p>
        </w:tc>
        <w:tc>
          <w:tcPr>
            <w:tcW w:w="12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0:00–1:30</w:t>
            </w:r>
          </w:p>
        </w:tc>
        <w:tc>
          <w:tcPr>
            <w:tcW w:w="56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A real listener voice-note or a striking line from this episode, before the intro — earns the listen.</w:t>
            </w:r>
          </w:p>
        </w:tc>
      </w:tr>
      <w:tr>
        <w:trPr/>
        <w:tc>
          <w:tcPr>
            <w:tcW w:w="25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Intro &amp; framing</w:t>
            </w:r>
          </w:p>
        </w:tc>
        <w:tc>
          <w:tcPr>
            <w:tcW w:w="12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1:30–4:00</w:t>
            </w:r>
          </w:p>
        </w:tc>
        <w:tc>
          <w:tcPr>
            <w:tcW w:w="56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Hosts welcome, recap the episode’s video, and frame the topic around health &amp; family (not rights).</w:t>
            </w:r>
          </w:p>
        </w:tc>
      </w:tr>
      <w:tr>
        <w:trPr/>
        <w:tc>
          <w:tcPr>
            <w:tcW w:w="25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The conversation</w:t>
            </w:r>
          </w:p>
        </w:tc>
        <w:tc>
          <w:tcPr>
            <w:tcW w:w="12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4:00–18:00</w:t>
            </w:r>
          </w:p>
        </w:tc>
        <w:tc>
          <w:tcPr>
            <w:tcW w:w="56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Core discussion between hosts + guest. Myths named and corrected; real questions explored.</w:t>
            </w:r>
          </w:p>
        </w:tc>
      </w:tr>
      <w:tr>
        <w:trPr/>
        <w:tc>
          <w:tcPr>
            <w:tcW w:w="25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Listener mailbag</w:t>
            </w:r>
          </w:p>
        </w:tc>
        <w:tc>
          <w:tcPr>
            <w:tcW w:w="12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18:00–24:00</w:t>
            </w:r>
          </w:p>
        </w:tc>
        <w:tc>
          <w:tcPr>
            <w:tcW w:w="56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Real questions from WhatsApp/social answered by the clinician — the trust engine of the show.</w:t>
            </w:r>
          </w:p>
        </w:tc>
      </w:tr>
      <w:tr>
        <w:trPr/>
        <w:tc>
          <w:tcPr>
            <w:tcW w:w="25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On the digital street</w:t>
            </w:r>
          </w:p>
        </w:tc>
        <w:tc>
          <w:tcPr>
            <w:tcW w:w="12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24:00–28:00</w:t>
            </w:r>
          </w:p>
        </w:tc>
        <w:tc>
          <w:tcPr>
            <w:tcW w:w="56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What’s spreading online this week (social-listening led) and how to think about it — “Pause. Check. Ask.”</w:t>
            </w:r>
          </w:p>
        </w:tc>
      </w:tr>
      <w:tr>
        <w:trPr/>
        <w:tc>
          <w:tcPr>
            <w:tcW w:w="25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Where to go / action</w:t>
            </w:r>
          </w:p>
        </w:tc>
        <w:tc>
          <w:tcPr>
            <w:tcW w:w="12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28:00–31:00</w:t>
            </w:r>
          </w:p>
        </w:tc>
        <w:tc>
          <w:tcPr>
            <w:tcW w:w="56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Concrete next steps and trusted sources; the same CTA every episode.</w:t>
            </w:r>
          </w:p>
        </w:tc>
      </w:tr>
      <w:tr>
        <w:trPr/>
        <w:tc>
          <w:tcPr>
            <w:tcW w:w="25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Clip-cast tag</w:t>
            </w:r>
          </w:p>
        </w:tc>
        <w:tc>
          <w:tcPr>
            <w:tcW w:w="12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31:00–33:00</w:t>
            </w:r>
          </w:p>
        </w:tc>
        <w:tc>
          <w:tcPr>
            <w:tcW w:w="56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A tight recap line designed to become the shareable WhatsApp/TikTok clip.</w:t>
            </w:r>
          </w:p>
        </w:tc>
      </w:tr>
    </w:tbl>
    <w:p>
      <w:pPr>
        <w:pStyle w:val="Normal"/>
        <w:spacing w:before="0" w:after="120"/>
        <w:rPr/>
      </w:pPr>
      <w:r>
        <w:rPr/>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F4F1EA"/>
              <w:left w:val="single" w:sz="28" w:space="0" w:color="C6A15B"/>
              <w:bottom w:val="single" w:sz="2" w:space="0" w:color="F4F1EA"/>
              <w:right w:val="single" w:sz="2" w:space="0" w:color="F4F1EA"/>
            </w:tcBorders>
            <w:shd w:fill="F4F1EA" w:val="clear"/>
          </w:tcPr>
          <w:p>
            <w:pPr>
              <w:pStyle w:val="Normal"/>
              <w:spacing w:lineRule="exact" w:line="262" w:before="0" w:after="0"/>
              <w:rPr/>
            </w:pPr>
            <w:r>
              <w:rPr>
                <w:rFonts w:eastAsia="Calibri" w:cs="Calibri"/>
                <w:b/>
                <w:bCs/>
                <w:color w:val="111827"/>
                <w:sz w:val="20"/>
                <w:szCs w:val="20"/>
              </w:rPr>
              <w:t xml:space="preserve">Design principle — produce for the clip, not just the episode. </w:t>
            </w:r>
            <w:r>
              <w:rPr>
                <w:rFonts w:eastAsia="Calibri" w:cs="Calibri"/>
                <w:color w:val="2C3340"/>
                <w:sz w:val="20"/>
                <w:szCs w:val="20"/>
              </w:rPr>
              <w:t>Each show is engineered to yield 2–4 short audio/video clips (the cold open, the mailbag answer, the digital-street segment, the tag). Most of the audience will never hear a full episode — the long form builds depth and trust, the clips do the reach, into the Level 1 channels where minds change.</w:t>
            </w:r>
          </w:p>
        </w:tc>
      </w:tr>
    </w:tbl>
    <w:p>
      <w:pPr>
        <w:pStyle w:val="Normal"/>
        <w:spacing w:before="0" w:after="60"/>
        <w:rPr/>
      </w:pPr>
      <w:r>
        <w:rPr/>
      </w:r>
      <w:r>
        <w:br w:type="page"/>
      </w:r>
    </w:p>
    <w:p>
      <w:pPr>
        <w:pStyle w:val="Normal"/>
        <w:keepNext w:val="true"/>
        <w:spacing w:before="0" w:after="40"/>
        <w:rPr/>
      </w:pPr>
      <w:r>
        <w:rPr>
          <w:rFonts w:eastAsia="Calibri" w:cs="Calibri"/>
          <w:b/>
          <w:bCs/>
          <w:color w:val="C6A15B"/>
          <w:spacing w:val="30"/>
          <w:sz w:val="16"/>
          <w:szCs w:val="16"/>
        </w:rPr>
        <w:t>THE SERIES</w:t>
      </w:r>
    </w:p>
    <w:p>
      <w:pPr>
        <w:pStyle w:val="Heading1"/>
        <w:keepNext w:val="true"/>
        <w:pBdr>
          <w:bottom w:val="single" w:sz="12" w:space="6" w:color="C6A15B"/>
        </w:pBdr>
        <w:spacing w:before="320" w:after="140"/>
        <w:rPr/>
      </w:pPr>
      <w:r>
        <w:rPr>
          <w:rFonts w:eastAsia="Calibri" w:cs="Calibri" w:ascii="Calibri" w:hAnsi="Calibri"/>
          <w:b/>
          <w:bCs/>
          <w:color w:val="111827"/>
          <w:sz w:val="30"/>
          <w:szCs w:val="30"/>
        </w:rPr>
        <w:t>The five core episodes</w:t>
      </w:r>
    </w:p>
    <w:p>
      <w:pPr>
        <w:pStyle w:val="Normal"/>
        <w:spacing w:lineRule="exact" w:line="268" w:before="0" w:after="120"/>
        <w:rPr/>
      </w:pPr>
      <w:r>
        <w:rPr>
          <w:rFonts w:eastAsia="Calibri" w:cs="Calibri"/>
          <w:color w:val="2C3340"/>
          <w:sz w:val="21"/>
          <w:szCs w:val="21"/>
        </w:rPr>
        <w:t>Each episode is anchored to one video, but goes deeper — turning a 90-second reframe into a 30-minute relationship. Recommended release order matches the videos’ rollout.</w:t>
      </w:r>
      <w:r>
        <w:rPr>
          <w:rFonts w:eastAsia="Calibri" w:cs="Calibri"/>
          <w:b/>
          <w:bCs/>
          <w:color w:val="A8863F"/>
          <w:sz w:val="13"/>
          <w:szCs w:val="13"/>
          <w:vertAlign w:val="superscript"/>
        </w:rPr>
        <w:t xml:space="preserve"> [1]</w:t>
      </w:r>
    </w:p>
    <w:p>
      <w:pPr>
        <w:pStyle w:val="Heading2"/>
        <w:keepNext w:val="true"/>
        <w:spacing w:before="240" w:after="100"/>
        <w:rPr/>
      </w:pPr>
      <w:r>
        <w:rPr>
          <w:rFonts w:eastAsia="Calibri" w:cs="Calibri" w:ascii="Calibri" w:hAnsi="Calibri"/>
          <w:b/>
          <w:bCs/>
          <w:color w:val="222B42"/>
          <w:sz w:val="25"/>
          <w:szCs w:val="25"/>
        </w:rPr>
        <w:t>Episode 1 — What SRHR Really Means</w:t>
      </w:r>
    </w:p>
    <w:tbl>
      <w:tblPr>
        <w:tblW w:w="9360" w:type="dxa"/>
        <w:jc w:val="left"/>
        <w:tblInd w:w="0" w:type="dxa"/>
        <w:tblLayout w:type="fixed"/>
        <w:tblCellMar>
          <w:top w:w="90" w:type="dxa"/>
          <w:left w:w="130" w:type="dxa"/>
          <w:bottom w:w="90" w:type="dxa"/>
          <w:right w:w="130" w:type="dxa"/>
        </w:tblCellMar>
      </w:tblPr>
      <w:tblGrid>
        <w:gridCol w:w="2100"/>
        <w:gridCol w:w="7259"/>
      </w:tblGrid>
      <w:tr>
        <w:trPr>
          <w:tblHeader w:val="true"/>
        </w:trPr>
        <w:tc>
          <w:tcPr>
            <w:tcW w:w="2100" w:type="dxa"/>
            <w:tcBorders>
              <w:top w:val="single" w:sz="4" w:space="0" w:color="D9DDE5"/>
              <w:left w:val="single" w:sz="4" w:space="0" w:color="D9DDE5"/>
              <w:bottom w:val="single" w:sz="4" w:space="0" w:color="D9DDE5"/>
              <w:right w:val="single" w:sz="4" w:space="0" w:color="D9DDE5"/>
            </w:tcBorders>
            <w:shd w:fill="222B42" w:val="clear"/>
          </w:tcPr>
          <w:p>
            <w:pPr>
              <w:pStyle w:val="Normal"/>
              <w:spacing w:lineRule="exact" w:line="252" w:before="0" w:after="0"/>
              <w:jc w:val="left"/>
              <w:rPr/>
            </w:pPr>
            <w:r>
              <w:rPr>
                <w:rFonts w:eastAsia="Calibri" w:cs="Calibri"/>
                <w:b/>
                <w:bCs/>
                <w:color w:val="FFFFFF"/>
                <w:sz w:val="19"/>
                <w:szCs w:val="19"/>
              </w:rPr>
              <w:t>Field</w:t>
            </w:r>
          </w:p>
        </w:tc>
        <w:tc>
          <w:tcPr>
            <w:tcW w:w="7259" w:type="dxa"/>
            <w:tcBorders>
              <w:top w:val="single" w:sz="4" w:space="0" w:color="D9DDE5"/>
              <w:left w:val="single" w:sz="4" w:space="0" w:color="D9DDE5"/>
              <w:bottom w:val="single" w:sz="4" w:space="0" w:color="D9DDE5"/>
              <w:right w:val="single" w:sz="4" w:space="0" w:color="D9DDE5"/>
            </w:tcBorders>
            <w:shd w:fill="222B42" w:val="clear"/>
          </w:tcPr>
          <w:p>
            <w:pPr>
              <w:pStyle w:val="Normal"/>
              <w:spacing w:lineRule="exact" w:line="252" w:before="0" w:after="0"/>
              <w:jc w:val="left"/>
              <w:rPr/>
            </w:pPr>
            <w:r>
              <w:rPr>
                <w:rFonts w:eastAsia="Calibri" w:cs="Calibri"/>
                <w:b/>
                <w:bCs/>
                <w:color w:val="FFFFFF"/>
                <w:sz w:val="19"/>
                <w:szCs w:val="19"/>
              </w:rPr>
              <w:t>Detail</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Anchored to</w:t>
            </w:r>
          </w:p>
        </w:tc>
        <w:tc>
          <w:tcPr>
            <w:tcW w:w="7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Video 1 · Demystifying SRHR</w:t>
            </w:r>
          </w:p>
        </w:tc>
      </w:tr>
      <w:tr>
        <w:trPr/>
        <w:tc>
          <w:tcPr>
            <w:tcW w:w="21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Guest</w:t>
            </w:r>
          </w:p>
        </w:tc>
        <w:tc>
          <w:tcPr>
            <w:tcW w:w="72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Mama Grace — Agneta’s mother, an everyday parent voice</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Lead language</w:t>
            </w:r>
          </w:p>
        </w:tc>
        <w:tc>
          <w:tcPr>
            <w:tcW w:w="7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Kiswahili (English + Sheng moments)</w:t>
            </w:r>
          </w:p>
        </w:tc>
      </w:tr>
      <w:tr>
        <w:trPr/>
        <w:tc>
          <w:tcPr>
            <w:tcW w:w="21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Central question</w:t>
            </w:r>
          </w:p>
        </w:tc>
        <w:tc>
          <w:tcPr>
            <w:tcW w:w="72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w:t>
            </w:r>
            <w:r>
              <w:rPr>
                <w:rFonts w:eastAsia="Calibri" w:cs="Calibri"/>
                <w:b w:val="false"/>
                <w:bCs w:val="false"/>
                <w:color w:val="2C3340"/>
                <w:sz w:val="19"/>
                <w:szCs w:val="19"/>
              </w:rPr>
              <w:t>If SRHR is already part of our daily lives, why does it sound so foreign?”</w:t>
            </w:r>
          </w:p>
        </w:tc>
      </w:tr>
    </w:tbl>
    <w:p>
      <w:pPr>
        <w:pStyle w:val="Normal"/>
        <w:spacing w:lineRule="exact" w:line="268" w:before="0" w:after="120"/>
        <w:rPr/>
      </w:pPr>
      <w:r>
        <w:rPr>
          <w:rFonts w:eastAsia="Calibri" w:cs="Calibri"/>
          <w:b/>
          <w:bCs/>
          <w:i w:val="false"/>
          <w:iCs w:val="false"/>
          <w:color w:val="A8863F"/>
          <w:sz w:val="21"/>
          <w:szCs w:val="21"/>
        </w:rPr>
        <w:t xml:space="preserve">The conversation. </w:t>
      </w:r>
      <w:r>
        <w:rPr>
          <w:rFonts w:eastAsia="Calibri" w:cs="Calibri"/>
          <w:b w:val="false"/>
          <w:bCs w:val="false"/>
          <w:i w:val="false"/>
          <w:iCs w:val="false"/>
          <w:color w:val="2C3340"/>
          <w:sz w:val="21"/>
          <w:szCs w:val="21"/>
        </w:rPr>
        <w:t>The hosts unpack why a term most Kenyans associate with clinics (30%) or nothing at all is actually about the everyday health of the people we love. The clinician and peer trade real examples and arrive gently at the idea that health is the door and rights is the destination.</w:t>
      </w:r>
      <w:r>
        <w:rPr>
          <w:rFonts w:eastAsia="Calibri" w:cs="Calibri"/>
          <w:b/>
          <w:bCs/>
          <w:color w:val="A8863F"/>
          <w:sz w:val="13"/>
          <w:szCs w:val="13"/>
          <w:vertAlign w:val="superscript"/>
        </w:rPr>
        <w:t xml:space="preserve"> [2]</w:t>
      </w:r>
    </w:p>
    <w:p>
      <w:pPr>
        <w:pStyle w:val="Normal"/>
        <w:spacing w:lineRule="exact" w:line="264" w:before="0" w:after="120"/>
        <w:jc w:val="left"/>
        <w:rPr/>
      </w:pPr>
      <w:r>
        <w:rPr>
          <w:rFonts w:eastAsia="Calibri" w:cs="Calibri"/>
          <w:b/>
          <w:bCs/>
          <w:color w:val="222B42"/>
          <w:sz w:val="21"/>
          <w:szCs w:val="21"/>
        </w:rPr>
        <w:t xml:space="preserve">Signature segment. </w:t>
      </w:r>
      <w:r>
        <w:rPr>
          <w:rFonts w:eastAsia="Calibri" w:cs="Calibri"/>
          <w:color w:val="2C3340"/>
          <w:sz w:val="21"/>
          <w:szCs w:val="21"/>
        </w:rPr>
        <w:t>A “translate the jargon” game where the peer challenges the clinician to explain SRHR terms in plain Kiswahili and Sheng — no textbook language allowed.</w:t>
      </w:r>
    </w:p>
    <w:p>
      <w:pPr>
        <w:pStyle w:val="Normal"/>
        <w:spacing w:lineRule="exact" w:line="264" w:before="0" w:after="120"/>
        <w:jc w:val="left"/>
        <w:rPr/>
      </w:pPr>
      <w:r>
        <w:rPr>
          <w:rFonts w:eastAsia="Calibri" w:cs="Calibri"/>
          <w:b/>
          <w:bCs/>
          <w:color w:val="222B42"/>
          <w:sz w:val="21"/>
          <w:szCs w:val="21"/>
        </w:rPr>
        <w:t xml:space="preserve">Clip to cut. </w:t>
      </w:r>
      <w:r>
        <w:rPr>
          <w:rFonts w:eastAsia="Calibri" w:cs="Calibri"/>
          <w:color w:val="2C3340"/>
          <w:sz w:val="21"/>
          <w:szCs w:val="21"/>
        </w:rPr>
        <w:t>The clearest 45-second plain-language definition of SRHR — the series’ evergreen intro clip.</w:t>
      </w:r>
    </w:p>
    <w:p>
      <w:pPr>
        <w:pStyle w:val="Normal"/>
        <w:spacing w:before="0" w:after="80"/>
        <w:rPr/>
      </w:pPr>
      <w:r>
        <w:rPr/>
      </w:r>
    </w:p>
    <w:p>
      <w:pPr>
        <w:pStyle w:val="Heading2"/>
        <w:keepNext w:val="true"/>
        <w:spacing w:before="240" w:after="100"/>
        <w:rPr/>
      </w:pPr>
      <w:r>
        <w:rPr>
          <w:rFonts w:eastAsia="Calibri" w:cs="Calibri" w:ascii="Calibri" w:hAnsi="Calibri"/>
          <w:b/>
          <w:bCs/>
          <w:color w:val="222B42"/>
          <w:sz w:val="25"/>
          <w:szCs w:val="25"/>
        </w:rPr>
        <w:t>Episode 2 — Myths, Facts &amp; the People Who Love Us</w:t>
      </w:r>
    </w:p>
    <w:tbl>
      <w:tblPr>
        <w:tblW w:w="9360" w:type="dxa"/>
        <w:jc w:val="left"/>
        <w:tblInd w:w="0" w:type="dxa"/>
        <w:tblLayout w:type="fixed"/>
        <w:tblCellMar>
          <w:top w:w="90" w:type="dxa"/>
          <w:left w:w="130" w:type="dxa"/>
          <w:bottom w:w="90" w:type="dxa"/>
          <w:right w:w="130" w:type="dxa"/>
        </w:tblCellMar>
      </w:tblPr>
      <w:tblGrid>
        <w:gridCol w:w="2100"/>
        <w:gridCol w:w="7259"/>
      </w:tblGrid>
      <w:tr>
        <w:trPr>
          <w:tblHeader w:val="true"/>
        </w:trPr>
        <w:tc>
          <w:tcPr>
            <w:tcW w:w="2100" w:type="dxa"/>
            <w:tcBorders>
              <w:top w:val="single" w:sz="4" w:space="0" w:color="D9DDE5"/>
              <w:left w:val="single" w:sz="4" w:space="0" w:color="D9DDE5"/>
              <w:bottom w:val="single" w:sz="4" w:space="0" w:color="D9DDE5"/>
              <w:right w:val="single" w:sz="4" w:space="0" w:color="D9DDE5"/>
            </w:tcBorders>
            <w:shd w:fill="222B42" w:val="clear"/>
          </w:tcPr>
          <w:p>
            <w:pPr>
              <w:pStyle w:val="Normal"/>
              <w:spacing w:lineRule="exact" w:line="252" w:before="0" w:after="0"/>
              <w:jc w:val="left"/>
              <w:rPr/>
            </w:pPr>
            <w:r>
              <w:rPr>
                <w:rFonts w:eastAsia="Calibri" w:cs="Calibri"/>
                <w:b/>
                <w:bCs/>
                <w:color w:val="FFFFFF"/>
                <w:sz w:val="19"/>
                <w:szCs w:val="19"/>
              </w:rPr>
              <w:t>Field</w:t>
            </w:r>
          </w:p>
        </w:tc>
        <w:tc>
          <w:tcPr>
            <w:tcW w:w="7259" w:type="dxa"/>
            <w:tcBorders>
              <w:top w:val="single" w:sz="4" w:space="0" w:color="D9DDE5"/>
              <w:left w:val="single" w:sz="4" w:space="0" w:color="D9DDE5"/>
              <w:bottom w:val="single" w:sz="4" w:space="0" w:color="D9DDE5"/>
              <w:right w:val="single" w:sz="4" w:space="0" w:color="D9DDE5"/>
            </w:tcBorders>
            <w:shd w:fill="222B42" w:val="clear"/>
          </w:tcPr>
          <w:p>
            <w:pPr>
              <w:pStyle w:val="Normal"/>
              <w:spacing w:lineRule="exact" w:line="252" w:before="0" w:after="0"/>
              <w:jc w:val="left"/>
              <w:rPr/>
            </w:pPr>
            <w:r>
              <w:rPr>
                <w:rFonts w:eastAsia="Calibri" w:cs="Calibri"/>
                <w:b/>
                <w:bCs/>
                <w:color w:val="FFFFFF"/>
                <w:sz w:val="19"/>
                <w:szCs w:val="19"/>
              </w:rPr>
              <w:t>Detail</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Anchored to</w:t>
            </w:r>
          </w:p>
        </w:tc>
        <w:tc>
          <w:tcPr>
            <w:tcW w:w="7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Video 3 · SRHR Myths &amp; Facts</w:t>
            </w:r>
          </w:p>
        </w:tc>
      </w:tr>
      <w:tr>
        <w:trPr/>
        <w:tc>
          <w:tcPr>
            <w:tcW w:w="21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Guest</w:t>
            </w:r>
          </w:p>
        </w:tc>
        <w:tc>
          <w:tcPr>
            <w:tcW w:w="72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Aunty Beth — a champion older woman (see the Mother &amp; Aunty curriculum)</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Lead language</w:t>
            </w:r>
          </w:p>
        </w:tc>
        <w:tc>
          <w:tcPr>
            <w:tcW w:w="7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Kiswahili (intergenerational audiences)</w:t>
            </w:r>
          </w:p>
        </w:tc>
      </w:tr>
      <w:tr>
        <w:trPr/>
        <w:tc>
          <w:tcPr>
            <w:tcW w:w="21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Central question</w:t>
            </w:r>
          </w:p>
        </w:tc>
        <w:tc>
          <w:tcPr>
            <w:tcW w:w="72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w:t>
            </w:r>
            <w:r>
              <w:rPr>
                <w:rFonts w:eastAsia="Calibri" w:cs="Calibri"/>
                <w:b w:val="false"/>
                <w:bCs w:val="false"/>
                <w:color w:val="2C3340"/>
                <w:sz w:val="19"/>
                <w:szCs w:val="19"/>
              </w:rPr>
              <w:t>The warning came from my mother. How do I love her and still get the facts?”</w:t>
            </w:r>
          </w:p>
        </w:tc>
      </w:tr>
    </w:tbl>
    <w:p>
      <w:pPr>
        <w:pStyle w:val="Normal"/>
        <w:spacing w:lineRule="exact" w:line="268" w:before="0" w:after="120"/>
        <w:rPr/>
      </w:pPr>
      <w:r>
        <w:rPr>
          <w:rFonts w:eastAsia="Calibri" w:cs="Calibri"/>
          <w:b/>
          <w:bCs/>
          <w:i w:val="false"/>
          <w:iCs w:val="false"/>
          <w:color w:val="A8863F"/>
          <w:sz w:val="21"/>
          <w:szCs w:val="21"/>
        </w:rPr>
        <w:t xml:space="preserve">The conversation. </w:t>
      </w:r>
      <w:r>
        <w:rPr>
          <w:rFonts w:eastAsia="Calibri" w:cs="Calibri"/>
          <w:b w:val="false"/>
          <w:bCs w:val="false"/>
          <w:i w:val="false"/>
          <w:iCs w:val="false"/>
          <w:color w:val="2C3340"/>
          <w:sz w:val="21"/>
          <w:szCs w:val="21"/>
        </w:rPr>
        <w:t>The emotional core of the series. Nurse Wanjiru calmly dismantles the most common contraceptive myths (47% believe contraception causes infertility), while Aunty Beth speaks to why she gave those warnings — out of love — and how her own thinking changed. It models the toolkit’s old-script/new-script shift, and Beth’s gatekeeper→champion arc, live on air.</w:t>
      </w:r>
      <w:r>
        <w:rPr>
          <w:rFonts w:eastAsia="Calibri" w:cs="Calibri"/>
          <w:b/>
          <w:bCs/>
          <w:color w:val="A8863F"/>
          <w:sz w:val="13"/>
          <w:szCs w:val="13"/>
          <w:vertAlign w:val="superscript"/>
        </w:rPr>
        <w:t xml:space="preserve"> [2,12]</w:t>
      </w:r>
    </w:p>
    <w:p>
      <w:pPr>
        <w:pStyle w:val="Normal"/>
        <w:spacing w:lineRule="exact" w:line="264" w:before="0" w:after="120"/>
        <w:jc w:val="left"/>
        <w:rPr/>
      </w:pPr>
      <w:r>
        <w:rPr>
          <w:rFonts w:eastAsia="Calibri" w:cs="Calibri"/>
          <w:b/>
          <w:bCs/>
          <w:color w:val="222B42"/>
          <w:sz w:val="21"/>
          <w:szCs w:val="21"/>
        </w:rPr>
        <w:t xml:space="preserve">Signature segment. </w:t>
      </w:r>
      <w:r>
        <w:rPr>
          <w:rFonts w:eastAsia="Calibri" w:cs="Calibri"/>
          <w:color w:val="2C3340"/>
          <w:sz w:val="21"/>
          <w:szCs w:val="21"/>
        </w:rPr>
        <w:t>“Rewrite the warning” — the older woman and clinician take a real myth delivered as love and rebuild it together into a caring, accurate version.</w:t>
      </w:r>
    </w:p>
    <w:p>
      <w:pPr>
        <w:pStyle w:val="Normal"/>
        <w:spacing w:lineRule="exact" w:line="264" w:before="0" w:after="120"/>
        <w:jc w:val="left"/>
        <w:rPr/>
      </w:pPr>
      <w:r>
        <w:rPr>
          <w:rFonts w:eastAsia="Calibri" w:cs="Calibri"/>
          <w:b/>
          <w:bCs/>
          <w:color w:val="222B42"/>
          <w:sz w:val="21"/>
          <w:szCs w:val="21"/>
        </w:rPr>
        <w:t xml:space="preserve">Clip to cut. </w:t>
      </w:r>
      <w:r>
        <w:rPr>
          <w:rFonts w:eastAsia="Calibri" w:cs="Calibri"/>
          <w:color w:val="2C3340"/>
          <w:sz w:val="21"/>
          <w:szCs w:val="21"/>
        </w:rPr>
        <w:t>The older woman’s change-of-heart moment — the most shareable, WhatsApp-native clip for older audiences.</w:t>
      </w:r>
    </w:p>
    <w:p>
      <w:pPr>
        <w:pStyle w:val="Normal"/>
        <w:spacing w:before="0" w:after="80"/>
        <w:rPr/>
      </w:pPr>
      <w:r>
        <w:rPr/>
      </w:r>
    </w:p>
    <w:p>
      <w:pPr>
        <w:pStyle w:val="Heading2"/>
        <w:keepNext w:val="true"/>
        <w:spacing w:before="240" w:after="100"/>
        <w:rPr/>
      </w:pPr>
      <w:r>
        <w:rPr>
          <w:rFonts w:eastAsia="Calibri" w:cs="Calibri" w:ascii="Calibri" w:hAnsi="Calibri"/>
          <w:b/>
          <w:bCs/>
          <w:color w:val="222B42"/>
          <w:sz w:val="25"/>
          <w:szCs w:val="25"/>
        </w:rPr>
        <w:t>Episode 3 — When a Rumour Moves Faster Than the Truth</w:t>
      </w:r>
    </w:p>
    <w:tbl>
      <w:tblPr>
        <w:tblW w:w="9360" w:type="dxa"/>
        <w:jc w:val="left"/>
        <w:tblInd w:w="0" w:type="dxa"/>
        <w:tblLayout w:type="fixed"/>
        <w:tblCellMar>
          <w:top w:w="90" w:type="dxa"/>
          <w:left w:w="130" w:type="dxa"/>
          <w:bottom w:w="90" w:type="dxa"/>
          <w:right w:w="130" w:type="dxa"/>
        </w:tblCellMar>
      </w:tblPr>
      <w:tblGrid>
        <w:gridCol w:w="2100"/>
        <w:gridCol w:w="7259"/>
      </w:tblGrid>
      <w:tr>
        <w:trPr>
          <w:tblHeader w:val="true"/>
        </w:trPr>
        <w:tc>
          <w:tcPr>
            <w:tcW w:w="2100" w:type="dxa"/>
            <w:tcBorders>
              <w:top w:val="single" w:sz="4" w:space="0" w:color="D9DDE5"/>
              <w:left w:val="single" w:sz="4" w:space="0" w:color="D9DDE5"/>
              <w:bottom w:val="single" w:sz="4" w:space="0" w:color="D9DDE5"/>
              <w:right w:val="single" w:sz="4" w:space="0" w:color="D9DDE5"/>
            </w:tcBorders>
            <w:shd w:fill="222B42" w:val="clear"/>
          </w:tcPr>
          <w:p>
            <w:pPr>
              <w:pStyle w:val="Normal"/>
              <w:spacing w:lineRule="exact" w:line="252" w:before="0" w:after="0"/>
              <w:jc w:val="left"/>
              <w:rPr/>
            </w:pPr>
            <w:r>
              <w:rPr>
                <w:rFonts w:eastAsia="Calibri" w:cs="Calibri"/>
                <w:b/>
                <w:bCs/>
                <w:color w:val="FFFFFF"/>
                <w:sz w:val="19"/>
                <w:szCs w:val="19"/>
              </w:rPr>
              <w:t>Field</w:t>
            </w:r>
          </w:p>
        </w:tc>
        <w:tc>
          <w:tcPr>
            <w:tcW w:w="7259" w:type="dxa"/>
            <w:tcBorders>
              <w:top w:val="single" w:sz="4" w:space="0" w:color="D9DDE5"/>
              <w:left w:val="single" w:sz="4" w:space="0" w:color="D9DDE5"/>
              <w:bottom w:val="single" w:sz="4" w:space="0" w:color="D9DDE5"/>
              <w:right w:val="single" w:sz="4" w:space="0" w:color="D9DDE5"/>
            </w:tcBorders>
            <w:shd w:fill="222B42" w:val="clear"/>
          </w:tcPr>
          <w:p>
            <w:pPr>
              <w:pStyle w:val="Normal"/>
              <w:spacing w:lineRule="exact" w:line="252" w:before="0" w:after="0"/>
              <w:jc w:val="left"/>
              <w:rPr/>
            </w:pPr>
            <w:r>
              <w:rPr>
                <w:rFonts w:eastAsia="Calibri" w:cs="Calibri"/>
                <w:b/>
                <w:bCs/>
                <w:color w:val="FFFFFF"/>
                <w:sz w:val="19"/>
                <w:szCs w:val="19"/>
              </w:rPr>
              <w:t>Detail</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Anchored to</w:t>
            </w:r>
          </w:p>
        </w:tc>
        <w:tc>
          <w:tcPr>
            <w:tcW w:w="7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Video 2 · SRHR &amp; Disinformation</w:t>
            </w:r>
          </w:p>
        </w:tc>
      </w:tr>
      <w:tr>
        <w:trPr/>
        <w:tc>
          <w:tcPr>
            <w:tcW w:w="21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Guest</w:t>
            </w:r>
          </w:p>
        </w:tc>
        <w:tc>
          <w:tcPr>
            <w:tcW w:w="72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Rev. Otieno (faith ally) + a public-health responder</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Lead language</w:t>
            </w:r>
          </w:p>
        </w:tc>
        <w:tc>
          <w:tcPr>
            <w:tcW w:w="7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Kiswahili + English</w:t>
            </w:r>
          </w:p>
        </w:tc>
      </w:tr>
      <w:tr>
        <w:trPr/>
        <w:tc>
          <w:tcPr>
            <w:tcW w:w="21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Central question</w:t>
            </w:r>
          </w:p>
        </w:tc>
        <w:tc>
          <w:tcPr>
            <w:tcW w:w="72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w:t>
            </w:r>
            <w:r>
              <w:rPr>
                <w:rFonts w:eastAsia="Calibri" w:cs="Calibri"/>
                <w:b w:val="false"/>
                <w:bCs w:val="false"/>
                <w:color w:val="2C3340"/>
                <w:sz w:val="19"/>
                <w:szCs w:val="19"/>
              </w:rPr>
              <w:t>How did one message reach 16.8 million people — and stop some from taking their medicine?”</w:t>
            </w:r>
          </w:p>
        </w:tc>
      </w:tr>
    </w:tbl>
    <w:p>
      <w:pPr>
        <w:pStyle w:val="Normal"/>
        <w:spacing w:lineRule="exact" w:line="268" w:before="0" w:after="120"/>
        <w:rPr/>
      </w:pPr>
      <w:r>
        <w:rPr>
          <w:rFonts w:eastAsia="Calibri" w:cs="Calibri"/>
          <w:b/>
          <w:bCs/>
          <w:i w:val="false"/>
          <w:iCs w:val="false"/>
          <w:color w:val="A8863F"/>
          <w:sz w:val="21"/>
          <w:szCs w:val="21"/>
        </w:rPr>
        <w:t xml:space="preserve">The conversation. </w:t>
      </w:r>
      <w:r>
        <w:rPr>
          <w:rFonts w:eastAsia="Calibri" w:cs="Calibri"/>
          <w:b w:val="false"/>
          <w:bCs w:val="false"/>
          <w:i w:val="false"/>
          <w:iCs w:val="false"/>
          <w:color w:val="2C3340"/>
          <w:sz w:val="21"/>
          <w:szCs w:val="21"/>
        </w:rPr>
        <w:t>Using #ScienceBows as the honest case study — the very kind of “HIV cured” forward Uncle Silas sent to the family group — the hosts trace how SRHR disinformation spreads at social speed while corrections crawl behind. Rev. Otieno models common-ground faith engagement rather than confrontation. The takeaway is a practical, repeatable habit: Pause. Check. Ask.</w:t>
      </w:r>
      <w:r>
        <w:rPr>
          <w:rFonts w:eastAsia="Calibri" w:cs="Calibri"/>
          <w:b/>
          <w:bCs/>
          <w:color w:val="A8863F"/>
          <w:sz w:val="13"/>
          <w:szCs w:val="13"/>
          <w:vertAlign w:val="superscript"/>
        </w:rPr>
        <w:t xml:space="preserve"> [3,12]</w:t>
      </w:r>
    </w:p>
    <w:p>
      <w:pPr>
        <w:pStyle w:val="Normal"/>
        <w:spacing w:lineRule="exact" w:line="264" w:before="0" w:after="120"/>
        <w:jc w:val="left"/>
        <w:rPr/>
      </w:pPr>
      <w:r>
        <w:rPr>
          <w:rFonts w:eastAsia="Calibri" w:cs="Calibri"/>
          <w:b/>
          <w:bCs/>
          <w:color w:val="222B42"/>
          <w:sz w:val="21"/>
          <w:szCs w:val="21"/>
        </w:rPr>
        <w:t xml:space="preserve">Signature segment. </w:t>
      </w:r>
      <w:r>
        <w:rPr>
          <w:rFonts w:eastAsia="Calibri" w:cs="Calibri"/>
          <w:color w:val="2C3340"/>
          <w:sz w:val="21"/>
          <w:szCs w:val="21"/>
        </w:rPr>
        <w:t>“Spot the red flag” — the peer reads out real (anonymised) forwarded messages and the panel diagnoses what makes each one spread.</w:t>
      </w:r>
    </w:p>
    <w:p>
      <w:pPr>
        <w:pStyle w:val="Normal"/>
        <w:spacing w:lineRule="exact" w:line="264" w:before="0" w:after="120"/>
        <w:jc w:val="left"/>
        <w:rPr/>
      </w:pPr>
      <w:r>
        <w:rPr>
          <w:rFonts w:eastAsia="Calibri" w:cs="Calibri"/>
          <w:b/>
          <w:bCs/>
          <w:color w:val="222B42"/>
          <w:sz w:val="21"/>
          <w:szCs w:val="21"/>
        </w:rPr>
        <w:t xml:space="preserve">Clip to cut. </w:t>
      </w:r>
      <w:r>
        <w:rPr>
          <w:rFonts w:eastAsia="Calibri" w:cs="Calibri"/>
          <w:color w:val="2C3340"/>
          <w:sz w:val="21"/>
          <w:szCs w:val="21"/>
        </w:rPr>
        <w:t>The 60-second “Pause. Check. Ask.” explainer — the series’ most forwardable public-service clip.</w:t>
      </w:r>
    </w:p>
    <w:p>
      <w:pPr>
        <w:pStyle w:val="Normal"/>
        <w:spacing w:before="0" w:after="80"/>
        <w:rPr/>
      </w:pPr>
      <w:r>
        <w:rPr/>
      </w:r>
    </w:p>
    <w:p>
      <w:pPr>
        <w:pStyle w:val="Heading2"/>
        <w:keepNext w:val="true"/>
        <w:spacing w:before="240" w:after="100"/>
        <w:rPr/>
      </w:pPr>
      <w:r>
        <w:rPr>
          <w:rFonts w:eastAsia="Calibri" w:cs="Calibri" w:ascii="Calibri" w:hAnsi="Calibri"/>
          <w:b/>
          <w:bCs/>
          <w:color w:val="222B42"/>
          <w:sz w:val="25"/>
          <w:szCs w:val="25"/>
        </w:rPr>
        <w:t>Episode 4 — Who Do You Trust With Your Body?</w:t>
      </w:r>
    </w:p>
    <w:tbl>
      <w:tblPr>
        <w:tblW w:w="9360" w:type="dxa"/>
        <w:jc w:val="left"/>
        <w:tblInd w:w="0" w:type="dxa"/>
        <w:tblLayout w:type="fixed"/>
        <w:tblCellMar>
          <w:top w:w="90" w:type="dxa"/>
          <w:left w:w="130" w:type="dxa"/>
          <w:bottom w:w="90" w:type="dxa"/>
          <w:right w:w="130" w:type="dxa"/>
        </w:tblCellMar>
      </w:tblPr>
      <w:tblGrid>
        <w:gridCol w:w="2100"/>
        <w:gridCol w:w="7259"/>
      </w:tblGrid>
      <w:tr>
        <w:trPr>
          <w:tblHeader w:val="true"/>
        </w:trPr>
        <w:tc>
          <w:tcPr>
            <w:tcW w:w="2100" w:type="dxa"/>
            <w:tcBorders>
              <w:top w:val="single" w:sz="4" w:space="0" w:color="D9DDE5"/>
              <w:left w:val="single" w:sz="4" w:space="0" w:color="D9DDE5"/>
              <w:bottom w:val="single" w:sz="4" w:space="0" w:color="D9DDE5"/>
              <w:right w:val="single" w:sz="4" w:space="0" w:color="D9DDE5"/>
            </w:tcBorders>
            <w:shd w:fill="222B42" w:val="clear"/>
          </w:tcPr>
          <w:p>
            <w:pPr>
              <w:pStyle w:val="Normal"/>
              <w:spacing w:lineRule="exact" w:line="252" w:before="0" w:after="0"/>
              <w:jc w:val="left"/>
              <w:rPr/>
            </w:pPr>
            <w:r>
              <w:rPr>
                <w:rFonts w:eastAsia="Calibri" w:cs="Calibri"/>
                <w:b/>
                <w:bCs/>
                <w:color w:val="FFFFFF"/>
                <w:sz w:val="19"/>
                <w:szCs w:val="19"/>
              </w:rPr>
              <w:t>Field</w:t>
            </w:r>
          </w:p>
        </w:tc>
        <w:tc>
          <w:tcPr>
            <w:tcW w:w="7259" w:type="dxa"/>
            <w:tcBorders>
              <w:top w:val="single" w:sz="4" w:space="0" w:color="D9DDE5"/>
              <w:left w:val="single" w:sz="4" w:space="0" w:color="D9DDE5"/>
              <w:bottom w:val="single" w:sz="4" w:space="0" w:color="D9DDE5"/>
              <w:right w:val="single" w:sz="4" w:space="0" w:color="D9DDE5"/>
            </w:tcBorders>
            <w:shd w:fill="222B42" w:val="clear"/>
          </w:tcPr>
          <w:p>
            <w:pPr>
              <w:pStyle w:val="Normal"/>
              <w:spacing w:lineRule="exact" w:line="252" w:before="0" w:after="0"/>
              <w:jc w:val="left"/>
              <w:rPr/>
            </w:pPr>
            <w:r>
              <w:rPr>
                <w:rFonts w:eastAsia="Calibri" w:cs="Calibri"/>
                <w:b/>
                <w:bCs/>
                <w:color w:val="FFFFFF"/>
                <w:sz w:val="19"/>
                <w:szCs w:val="19"/>
              </w:rPr>
              <w:t>Detail</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Anchored to</w:t>
            </w:r>
          </w:p>
        </w:tc>
        <w:tc>
          <w:tcPr>
            <w:tcW w:w="7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Video 5 · Where to Get Safe, Accurate SRHR Information</w:t>
            </w:r>
          </w:p>
        </w:tc>
      </w:tr>
      <w:tr>
        <w:trPr/>
        <w:tc>
          <w:tcPr>
            <w:tcW w:w="21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Guest</w:t>
            </w:r>
          </w:p>
        </w:tc>
        <w:tc>
          <w:tcPr>
            <w:tcW w:w="72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Agneta (the 18–24 voice) + a community health promoter</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Lead language</w:t>
            </w:r>
          </w:p>
        </w:tc>
        <w:tc>
          <w:tcPr>
            <w:tcW w:w="7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Sheng-forward (English + Kiswahili)</w:t>
            </w:r>
          </w:p>
        </w:tc>
      </w:tr>
      <w:tr>
        <w:trPr/>
        <w:tc>
          <w:tcPr>
            <w:tcW w:w="21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Central question</w:t>
            </w:r>
          </w:p>
        </w:tc>
        <w:tc>
          <w:tcPr>
            <w:tcW w:w="72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w:t>
            </w:r>
            <w:r>
              <w:rPr>
                <w:rFonts w:eastAsia="Calibri" w:cs="Calibri"/>
                <w:b w:val="false"/>
                <w:bCs w:val="false"/>
                <w:color w:val="2C3340"/>
                <w:sz w:val="19"/>
                <w:szCs w:val="19"/>
              </w:rPr>
              <w:t>Everyone online has an answer. How do I know who’s actually right?”</w:t>
            </w:r>
          </w:p>
        </w:tc>
      </w:tr>
    </w:tbl>
    <w:p>
      <w:pPr>
        <w:pStyle w:val="Normal"/>
        <w:spacing w:lineRule="exact" w:line="268" w:before="0" w:after="120"/>
        <w:rPr/>
      </w:pPr>
      <w:r>
        <w:rPr>
          <w:rFonts w:eastAsia="Calibri" w:cs="Calibri"/>
          <w:b/>
          <w:bCs/>
          <w:i w:val="false"/>
          <w:iCs w:val="false"/>
          <w:color w:val="A8863F"/>
          <w:sz w:val="21"/>
          <w:szCs w:val="21"/>
        </w:rPr>
        <w:t xml:space="preserve">The conversation. </w:t>
      </w:r>
      <w:r>
        <w:rPr>
          <w:rFonts w:eastAsia="Calibri" w:cs="Calibri"/>
          <w:b w:val="false"/>
          <w:bCs w:val="false"/>
          <w:i w:val="false"/>
          <w:iCs w:val="false"/>
          <w:color w:val="2C3340"/>
          <w:sz w:val="21"/>
          <w:szCs w:val="21"/>
        </w:rPr>
        <w:t>Aimed squarely at the 18–24 cohort, who mostly get first SRHR information from peers and social media. The youth creator keeps it real and Sheng-forward; the CHP shows how close trusted help actually is; the clinician gives the three-question source test. Confidentiality and no-judgment services are made concrete.</w:t>
      </w:r>
      <w:r>
        <w:rPr>
          <w:rFonts w:eastAsia="Calibri" w:cs="Calibri"/>
          <w:b/>
          <w:bCs/>
          <w:color w:val="A8863F"/>
          <w:sz w:val="13"/>
          <w:szCs w:val="13"/>
          <w:vertAlign w:val="superscript"/>
        </w:rPr>
        <w:t xml:space="preserve"> [1,3]</w:t>
      </w:r>
    </w:p>
    <w:p>
      <w:pPr>
        <w:pStyle w:val="Normal"/>
        <w:spacing w:lineRule="exact" w:line="264" w:before="0" w:after="120"/>
        <w:jc w:val="left"/>
        <w:rPr/>
      </w:pPr>
      <w:r>
        <w:rPr>
          <w:rFonts w:eastAsia="Calibri" w:cs="Calibri"/>
          <w:b/>
          <w:bCs/>
          <w:color w:val="222B42"/>
          <w:sz w:val="21"/>
          <w:szCs w:val="21"/>
        </w:rPr>
        <w:t xml:space="preserve">Signature segment. </w:t>
      </w:r>
      <w:r>
        <w:rPr>
          <w:rFonts w:eastAsia="Calibri" w:cs="Calibri"/>
          <w:color w:val="2C3340"/>
          <w:sz w:val="21"/>
          <w:szCs w:val="21"/>
        </w:rPr>
        <w:t>Live “source test” — listeners send in posts/claims and the panel runs each through: Who’s saying it? Are they qualified? Do trusted sources agree?</w:t>
      </w:r>
    </w:p>
    <w:p>
      <w:pPr>
        <w:pStyle w:val="Normal"/>
        <w:spacing w:lineRule="exact" w:line="264" w:before="0" w:after="120"/>
        <w:jc w:val="left"/>
        <w:rPr/>
      </w:pPr>
      <w:r>
        <w:rPr>
          <w:rFonts w:eastAsia="Calibri" w:cs="Calibri"/>
          <w:b/>
          <w:bCs/>
          <w:color w:val="222B42"/>
          <w:sz w:val="21"/>
          <w:szCs w:val="21"/>
        </w:rPr>
        <w:t xml:space="preserve">Clip to cut. </w:t>
      </w:r>
      <w:r>
        <w:rPr>
          <w:rFonts w:eastAsia="Calibri" w:cs="Calibri"/>
          <w:color w:val="2C3340"/>
          <w:sz w:val="21"/>
          <w:szCs w:val="21"/>
        </w:rPr>
        <w:t>The three-question source test as a standalone Sheng clip for TikTok/Instagram.</w:t>
      </w:r>
    </w:p>
    <w:p>
      <w:pPr>
        <w:pStyle w:val="Normal"/>
        <w:spacing w:before="0" w:after="80"/>
        <w:rPr/>
      </w:pPr>
      <w:r>
        <w:rPr/>
      </w:r>
    </w:p>
    <w:p>
      <w:pPr>
        <w:pStyle w:val="Heading2"/>
        <w:keepNext w:val="true"/>
        <w:spacing w:before="240" w:after="100"/>
        <w:rPr/>
      </w:pPr>
      <w:r>
        <w:rPr>
          <w:rFonts w:eastAsia="Calibri" w:cs="Calibri" w:ascii="Calibri" w:hAnsi="Calibri"/>
          <w:b/>
          <w:bCs/>
          <w:color w:val="222B42"/>
          <w:sz w:val="25"/>
          <w:szCs w:val="25"/>
        </w:rPr>
        <w:t>Episode 5 — Where We Are, and Where We’re Going</w:t>
      </w:r>
    </w:p>
    <w:tbl>
      <w:tblPr>
        <w:tblW w:w="9360" w:type="dxa"/>
        <w:jc w:val="left"/>
        <w:tblInd w:w="0" w:type="dxa"/>
        <w:tblLayout w:type="fixed"/>
        <w:tblCellMar>
          <w:top w:w="90" w:type="dxa"/>
          <w:left w:w="130" w:type="dxa"/>
          <w:bottom w:w="90" w:type="dxa"/>
          <w:right w:w="130" w:type="dxa"/>
        </w:tblCellMar>
      </w:tblPr>
      <w:tblGrid>
        <w:gridCol w:w="2100"/>
        <w:gridCol w:w="7259"/>
      </w:tblGrid>
      <w:tr>
        <w:trPr>
          <w:tblHeader w:val="true"/>
        </w:trPr>
        <w:tc>
          <w:tcPr>
            <w:tcW w:w="2100" w:type="dxa"/>
            <w:tcBorders>
              <w:top w:val="single" w:sz="4" w:space="0" w:color="D9DDE5"/>
              <w:left w:val="single" w:sz="4" w:space="0" w:color="D9DDE5"/>
              <w:bottom w:val="single" w:sz="4" w:space="0" w:color="D9DDE5"/>
              <w:right w:val="single" w:sz="4" w:space="0" w:color="D9DDE5"/>
            </w:tcBorders>
            <w:shd w:fill="222B42" w:val="clear"/>
          </w:tcPr>
          <w:p>
            <w:pPr>
              <w:pStyle w:val="Normal"/>
              <w:spacing w:lineRule="exact" w:line="252" w:before="0" w:after="0"/>
              <w:jc w:val="left"/>
              <w:rPr/>
            </w:pPr>
            <w:r>
              <w:rPr>
                <w:rFonts w:eastAsia="Calibri" w:cs="Calibri"/>
                <w:b/>
                <w:bCs/>
                <w:color w:val="FFFFFF"/>
                <w:sz w:val="19"/>
                <w:szCs w:val="19"/>
              </w:rPr>
              <w:t>Field</w:t>
            </w:r>
          </w:p>
        </w:tc>
        <w:tc>
          <w:tcPr>
            <w:tcW w:w="7259" w:type="dxa"/>
            <w:tcBorders>
              <w:top w:val="single" w:sz="4" w:space="0" w:color="D9DDE5"/>
              <w:left w:val="single" w:sz="4" w:space="0" w:color="D9DDE5"/>
              <w:bottom w:val="single" w:sz="4" w:space="0" w:color="D9DDE5"/>
              <w:right w:val="single" w:sz="4" w:space="0" w:color="D9DDE5"/>
            </w:tcBorders>
            <w:shd w:fill="222B42" w:val="clear"/>
          </w:tcPr>
          <w:p>
            <w:pPr>
              <w:pStyle w:val="Normal"/>
              <w:spacing w:lineRule="exact" w:line="252" w:before="0" w:after="0"/>
              <w:jc w:val="left"/>
              <w:rPr/>
            </w:pPr>
            <w:r>
              <w:rPr>
                <w:rFonts w:eastAsia="Calibri" w:cs="Calibri"/>
                <w:b/>
                <w:bCs/>
                <w:color w:val="FFFFFF"/>
                <w:sz w:val="19"/>
                <w:szCs w:val="19"/>
              </w:rPr>
              <w:t>Detail</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Anchored to</w:t>
            </w:r>
          </w:p>
        </w:tc>
        <w:tc>
          <w:tcPr>
            <w:tcW w:w="7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Video 4 · Latest Developments on SRHR</w:t>
            </w:r>
          </w:p>
        </w:tc>
      </w:tr>
      <w:tr>
        <w:trPr/>
        <w:tc>
          <w:tcPr>
            <w:tcW w:w="21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Guest</w:t>
            </w:r>
          </w:p>
        </w:tc>
        <w:tc>
          <w:tcPr>
            <w:tcW w:w="72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Brenda — survivor-advocate — + a programme leader</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Lead language</w:t>
            </w:r>
          </w:p>
        </w:tc>
        <w:tc>
          <w:tcPr>
            <w:tcW w:w="7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Kiswahili + English</w:t>
            </w:r>
          </w:p>
        </w:tc>
      </w:tr>
      <w:tr>
        <w:trPr/>
        <w:tc>
          <w:tcPr>
            <w:tcW w:w="21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Central question</w:t>
            </w:r>
          </w:p>
        </w:tc>
        <w:tc>
          <w:tcPr>
            <w:tcW w:w="72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w:t>
            </w:r>
            <w:r>
              <w:rPr>
                <w:rFonts w:eastAsia="Calibri" w:cs="Calibri"/>
                <w:b w:val="false"/>
                <w:bCs w:val="false"/>
                <w:color w:val="2C3340"/>
                <w:sz w:val="19"/>
                <w:szCs w:val="19"/>
              </w:rPr>
              <w:t>Is anything actually getting better — and what part do we play?”</w:t>
            </w:r>
          </w:p>
        </w:tc>
      </w:tr>
    </w:tbl>
    <w:p>
      <w:pPr>
        <w:pStyle w:val="Normal"/>
        <w:spacing w:lineRule="exact" w:line="268" w:before="0" w:after="120"/>
        <w:rPr/>
      </w:pPr>
      <w:r>
        <w:rPr>
          <w:rFonts w:eastAsia="Calibri" w:cs="Calibri"/>
          <w:b/>
          <w:bCs/>
          <w:i w:val="false"/>
          <w:iCs w:val="false"/>
          <w:color w:val="A8863F"/>
          <w:sz w:val="21"/>
          <w:szCs w:val="21"/>
        </w:rPr>
        <w:t xml:space="preserve">The conversation. </w:t>
      </w:r>
      <w:r>
        <w:rPr>
          <w:rFonts w:eastAsia="Calibri" w:cs="Calibri"/>
          <w:b w:val="false"/>
          <w:bCs w:val="false"/>
          <w:i w:val="false"/>
          <w:iCs w:val="false"/>
          <w:color w:val="2C3340"/>
          <w:sz w:val="21"/>
          <w:szCs w:val="21"/>
        </w:rPr>
        <w:t>The hopeful finale. Honest about the barriers, but anchored in bright spots — the national CHP network, faith-led family planning reaching hundreds of thousands, real voices reclaiming the digital street. The survivor-advocate’s testimony carries the emotional weight (safeguarded and consented); the programme leader points to what’s next.</w:t>
      </w:r>
      <w:r>
        <w:rPr>
          <w:rFonts w:eastAsia="Calibri" w:cs="Calibri"/>
          <w:b/>
          <w:bCs/>
          <w:color w:val="A8863F"/>
          <w:sz w:val="13"/>
          <w:szCs w:val="13"/>
          <w:vertAlign w:val="superscript"/>
        </w:rPr>
        <w:t xml:space="preserve"> [1,11,9]</w:t>
      </w:r>
    </w:p>
    <w:p>
      <w:pPr>
        <w:pStyle w:val="Normal"/>
        <w:spacing w:lineRule="exact" w:line="264" w:before="0" w:after="120"/>
        <w:jc w:val="left"/>
        <w:rPr/>
      </w:pPr>
      <w:r>
        <w:rPr>
          <w:rFonts w:eastAsia="Calibri" w:cs="Calibri"/>
          <w:b/>
          <w:bCs/>
          <w:color w:val="222B42"/>
          <w:sz w:val="21"/>
          <w:szCs w:val="21"/>
        </w:rPr>
        <w:t xml:space="preserve">Signature segment. </w:t>
      </w:r>
      <w:r>
        <w:rPr>
          <w:rFonts w:eastAsia="Calibri" w:cs="Calibri"/>
          <w:color w:val="2C3340"/>
          <w:sz w:val="21"/>
          <w:szCs w:val="21"/>
        </w:rPr>
        <w:t>“One thing I’m hopeful about” — every voice in the room, including a listener voice-note, names one real reason for hope.</w:t>
      </w:r>
    </w:p>
    <w:p>
      <w:pPr>
        <w:pStyle w:val="Normal"/>
        <w:spacing w:lineRule="exact" w:line="264" w:before="0" w:after="120"/>
        <w:jc w:val="left"/>
        <w:rPr/>
      </w:pPr>
      <w:r>
        <w:rPr>
          <w:rFonts w:eastAsia="Calibri" w:cs="Calibri"/>
          <w:b/>
          <w:bCs/>
          <w:color w:val="222B42"/>
          <w:sz w:val="21"/>
          <w:szCs w:val="21"/>
        </w:rPr>
        <w:t xml:space="preserve">Clip to cut. </w:t>
      </w:r>
      <w:r>
        <w:rPr>
          <w:rFonts w:eastAsia="Calibri" w:cs="Calibri"/>
          <w:color w:val="2C3340"/>
          <w:sz w:val="21"/>
          <w:szCs w:val="21"/>
        </w:rPr>
        <w:t>The survivor-advocate’s testimony moment — the series’ signature emotional clip.</w:t>
      </w:r>
    </w:p>
    <w:p>
      <w:pPr>
        <w:pStyle w:val="Normal"/>
        <w:spacing w:before="0" w:after="80"/>
        <w:rPr/>
      </w:pPr>
      <w:r>
        <w:rPr/>
      </w:r>
      <w:r>
        <w:br w:type="page"/>
      </w:r>
    </w:p>
    <w:p>
      <w:pPr>
        <w:pStyle w:val="Normal"/>
        <w:keepNext w:val="true"/>
        <w:spacing w:before="0" w:after="40"/>
        <w:rPr/>
      </w:pPr>
      <w:r>
        <w:rPr>
          <w:rFonts w:eastAsia="Calibri" w:cs="Calibri"/>
          <w:b/>
          <w:bCs/>
          <w:color w:val="C6A15B"/>
          <w:spacing w:val="30"/>
          <w:sz w:val="16"/>
          <w:szCs w:val="16"/>
        </w:rPr>
        <w:t>BEYOND THE FIVE</w:t>
      </w:r>
    </w:p>
    <w:p>
      <w:pPr>
        <w:pStyle w:val="Heading1"/>
        <w:keepNext w:val="true"/>
        <w:pBdr>
          <w:bottom w:val="single" w:sz="12" w:space="6" w:color="C6A15B"/>
        </w:pBdr>
        <w:spacing w:before="320" w:after="140"/>
        <w:rPr/>
      </w:pPr>
      <w:r>
        <w:rPr>
          <w:rFonts w:eastAsia="Calibri" w:cs="Calibri" w:ascii="Calibri" w:hAnsi="Calibri"/>
          <w:b/>
          <w:bCs/>
          <w:color w:val="111827"/>
          <w:sz w:val="30"/>
          <w:szCs w:val="30"/>
        </w:rPr>
        <w:t>From a series to an always-on show</w:t>
      </w:r>
    </w:p>
    <w:p>
      <w:pPr>
        <w:pStyle w:val="Normal"/>
        <w:spacing w:lineRule="exact" w:line="268" w:before="0" w:after="120"/>
        <w:rPr/>
      </w:pPr>
      <w:r>
        <w:rPr>
          <w:rFonts w:eastAsia="Calibri" w:cs="Calibri"/>
          <w:color w:val="2C3340"/>
          <w:sz w:val="21"/>
          <w:szCs w:val="21"/>
        </w:rPr>
        <w:t>The five-part run is the launch; its real value is proving the format and building a trusted host relationship the audience returns to. After Episode 5, the show becomes responsive — driven by two live inputs the project already produces, exactly as the research’s call for a standing “narrative &amp; misinformation observatory” prescribes.</w:t>
      </w:r>
      <w:r>
        <w:rPr>
          <w:rFonts w:eastAsia="Calibri" w:cs="Calibri"/>
          <w:b/>
          <w:bCs/>
          <w:color w:val="A8863F"/>
          <w:sz w:val="13"/>
          <w:szCs w:val="13"/>
          <w:vertAlign w:val="superscript"/>
        </w:rPr>
        <w:t xml:space="preserve"> [1]</w:t>
      </w:r>
    </w:p>
    <w:p>
      <w:pPr>
        <w:pStyle w:val="Heading3"/>
        <w:keepNext w:val="true"/>
        <w:spacing w:before="180" w:after="70"/>
        <w:rPr/>
      </w:pPr>
      <w:r>
        <w:rPr>
          <w:rFonts w:eastAsia="Calibri" w:cs="Calibri" w:ascii="Calibri" w:hAnsi="Calibri"/>
          <w:b/>
          <w:bCs/>
          <w:color w:val="A8863F"/>
          <w:sz w:val="22"/>
          <w:szCs w:val="22"/>
        </w:rPr>
        <w:t>Two engines keep it always-on</w:t>
      </w:r>
    </w:p>
    <w:p>
      <w:pPr>
        <w:pStyle w:val="Normal"/>
        <w:spacing w:lineRule="exact" w:line="258" w:before="0" w:after="60"/>
        <w:rPr/>
      </w:pPr>
      <w:r>
        <w:rPr>
          <w:rFonts w:eastAsia="Calibri" w:cs="Calibri"/>
          <w:b/>
          <w:bCs/>
          <w:color w:val="222B42"/>
          <w:sz w:val="21"/>
          <w:szCs w:val="21"/>
        </w:rPr>
        <w:t xml:space="preserve">Social-listening radar.  </w:t>
      </w:r>
      <w:r>
        <w:rPr>
          <w:rFonts w:eastAsia="Calibri" w:cs="Calibri"/>
          <w:color w:val="2C3340"/>
          <w:sz w:val="21"/>
          <w:szCs w:val="21"/>
        </w:rPr>
        <w:t>The same monitoring that powered Phase 1 flags what’s spreading each week; when a new myth surges, the show responds within days — fast, same-channel, trusted-voice counter-messaging.</w:t>
      </w:r>
    </w:p>
    <w:p>
      <w:pPr>
        <w:pStyle w:val="Normal"/>
        <w:spacing w:lineRule="exact" w:line="258" w:before="0" w:after="60"/>
        <w:rPr/>
      </w:pPr>
      <w:r>
        <w:rPr>
          <w:rFonts w:eastAsia="Calibri" w:cs="Calibri"/>
          <w:b/>
          <w:bCs/>
          <w:color w:val="222B42"/>
          <w:sz w:val="21"/>
          <w:szCs w:val="21"/>
        </w:rPr>
        <w:t xml:space="preserve">Listener mailbag.  </w:t>
      </w:r>
      <w:r>
        <w:rPr>
          <w:rFonts w:eastAsia="Calibri" w:cs="Calibri"/>
          <w:color w:val="2C3340"/>
          <w:sz w:val="21"/>
          <w:szCs w:val="21"/>
        </w:rPr>
        <w:t>Questions arriving via WhatsApp and social set the agenda. The audience literally writes the show — which is also how it stays trusted and relevant.</w:t>
      </w:r>
    </w:p>
    <w:p>
      <w:pPr>
        <w:pStyle w:val="Normal"/>
        <w:spacing w:before="0" w:after="80"/>
        <w:rPr/>
      </w:pPr>
      <w:r>
        <w:rPr/>
      </w:r>
    </w:p>
    <w:p>
      <w:pPr>
        <w:pStyle w:val="Heading3"/>
        <w:keepNext w:val="true"/>
        <w:spacing w:before="180" w:after="70"/>
        <w:rPr/>
      </w:pPr>
      <w:r>
        <w:rPr>
          <w:rFonts w:eastAsia="Calibri" w:cs="Calibri" w:ascii="Calibri" w:hAnsi="Calibri"/>
          <w:b/>
          <w:bCs/>
          <w:color w:val="A8863F"/>
          <w:sz w:val="22"/>
          <w:szCs w:val="22"/>
        </w:rPr>
        <w:t>A simple content-calendar rhythm</w:t>
      </w:r>
    </w:p>
    <w:tbl>
      <w:tblPr>
        <w:tblW w:w="9360" w:type="dxa"/>
        <w:jc w:val="left"/>
        <w:tblInd w:w="0" w:type="dxa"/>
        <w:tblLayout w:type="fixed"/>
        <w:tblCellMar>
          <w:top w:w="90" w:type="dxa"/>
          <w:left w:w="130" w:type="dxa"/>
          <w:bottom w:w="90" w:type="dxa"/>
          <w:right w:w="130" w:type="dxa"/>
        </w:tblCellMar>
      </w:tblPr>
      <w:tblGrid>
        <w:gridCol w:w="2500"/>
        <w:gridCol w:w="2000"/>
        <w:gridCol w:w="4860"/>
      </w:tblGrid>
      <w:tr>
        <w:trPr>
          <w:tblHeader w:val="true"/>
        </w:trPr>
        <w:tc>
          <w:tcPr>
            <w:tcW w:w="250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8"/>
                <w:szCs w:val="18"/>
              </w:rPr>
              <w:t>Episode type</w:t>
            </w:r>
          </w:p>
        </w:tc>
        <w:tc>
          <w:tcPr>
            <w:tcW w:w="200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8"/>
                <w:szCs w:val="18"/>
              </w:rPr>
              <w:t>Frequency</w:t>
            </w:r>
          </w:p>
        </w:tc>
        <w:tc>
          <w:tcPr>
            <w:tcW w:w="486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8"/>
                <w:szCs w:val="18"/>
              </w:rPr>
              <w:t>Purpose</w:t>
            </w:r>
          </w:p>
        </w:tc>
      </w:tr>
      <w:tr>
        <w:trPr/>
        <w:tc>
          <w:tcPr>
            <w:tcW w:w="25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Core / evergreen</w:t>
            </w:r>
          </w:p>
        </w:tc>
        <w:tc>
          <w:tcPr>
            <w:tcW w:w="20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Monthly</w:t>
            </w:r>
          </w:p>
        </w:tc>
        <w:tc>
          <w:tcPr>
            <w:tcW w:w="48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Deep-dive on a foundational SRHR topic (reusable long-term).</w:t>
            </w:r>
          </w:p>
        </w:tc>
      </w:tr>
      <w:tr>
        <w:trPr/>
        <w:tc>
          <w:tcPr>
            <w:tcW w:w="25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Rapid-response</w:t>
            </w:r>
          </w:p>
        </w:tc>
        <w:tc>
          <w:tcPr>
            <w:tcW w:w="20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As needed</w:t>
            </w:r>
          </w:p>
        </w:tc>
        <w:tc>
          <w:tcPr>
            <w:tcW w:w="48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Answers a myth or event surging on the digital street this week.</w:t>
            </w:r>
          </w:p>
        </w:tc>
      </w:tr>
      <w:tr>
        <w:trPr/>
        <w:tc>
          <w:tcPr>
            <w:tcW w:w="25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Mailbag special</w:t>
            </w:r>
          </w:p>
        </w:tc>
        <w:tc>
          <w:tcPr>
            <w:tcW w:w="20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Monthly</w:t>
            </w:r>
          </w:p>
        </w:tc>
        <w:tc>
          <w:tcPr>
            <w:tcW w:w="48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A full episode of listener questions answered by the clinician.</w:t>
            </w:r>
          </w:p>
        </w:tc>
      </w:tr>
      <w:tr>
        <w:trPr/>
        <w:tc>
          <w:tcPr>
            <w:tcW w:w="25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Guest spotlight</w:t>
            </w:r>
          </w:p>
        </w:tc>
        <w:tc>
          <w:tcPr>
            <w:tcW w:w="20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Occasional</w:t>
            </w:r>
          </w:p>
        </w:tc>
        <w:tc>
          <w:tcPr>
            <w:tcW w:w="48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A single powerful voice — survivor, faith ally, youth creator.</w:t>
            </w:r>
          </w:p>
        </w:tc>
      </w:tr>
    </w:tbl>
    <w:p>
      <w:pPr>
        <w:pStyle w:val="Normal"/>
        <w:keepNext w:val="true"/>
        <w:spacing w:before="0" w:after="40"/>
        <w:rPr/>
      </w:pPr>
      <w:r>
        <w:br w:type="page"/>
      </w:r>
      <w:r>
        <w:rPr>
          <w:rFonts w:eastAsia="Calibri" w:cs="Calibri"/>
          <w:b/>
          <w:bCs/>
          <w:color w:val="C6A15B"/>
          <w:spacing w:val="30"/>
          <w:sz w:val="16"/>
          <w:szCs w:val="16"/>
        </w:rPr>
        <w:t>DISTRIBUTION</w:t>
      </w:r>
    </w:p>
    <w:p>
      <w:pPr>
        <w:pStyle w:val="Heading1"/>
        <w:keepNext w:val="true"/>
        <w:pBdr>
          <w:bottom w:val="single" w:sz="12" w:space="6" w:color="C6A15B"/>
        </w:pBdr>
        <w:spacing w:before="320" w:after="140"/>
        <w:rPr/>
      </w:pPr>
      <w:r>
        <w:rPr>
          <w:rFonts w:eastAsia="Calibri" w:cs="Calibri" w:ascii="Calibri" w:hAnsi="Calibri"/>
          <w:b/>
          <w:bCs/>
          <w:color w:val="111827"/>
          <w:sz w:val="30"/>
          <w:szCs w:val="30"/>
        </w:rPr>
        <w:t>Getting it heard</w:t>
      </w:r>
    </w:p>
    <w:p>
      <w:pPr>
        <w:pStyle w:val="Heading2"/>
        <w:keepNext w:val="true"/>
        <w:spacing w:before="240" w:after="100"/>
        <w:rPr/>
      </w:pPr>
      <w:r>
        <w:rPr>
          <w:rFonts w:eastAsia="Calibri" w:cs="Calibri" w:ascii="Calibri" w:hAnsi="Calibri"/>
          <w:b/>
          <w:bCs/>
          <w:color w:val="222B42"/>
          <w:sz w:val="25"/>
          <w:szCs w:val="25"/>
        </w:rPr>
        <w:t>Channel strategy — matched to the messenger architecture</w:t>
      </w:r>
    </w:p>
    <w:tbl>
      <w:tblPr>
        <w:tblW w:w="9360" w:type="dxa"/>
        <w:jc w:val="left"/>
        <w:tblInd w:w="0" w:type="dxa"/>
        <w:tblLayout w:type="fixed"/>
        <w:tblCellMar>
          <w:top w:w="90" w:type="dxa"/>
          <w:left w:w="130" w:type="dxa"/>
          <w:bottom w:w="90" w:type="dxa"/>
          <w:right w:w="130" w:type="dxa"/>
        </w:tblCellMar>
      </w:tblPr>
      <w:tblGrid>
        <w:gridCol w:w="2700"/>
        <w:gridCol w:w="4159"/>
        <w:gridCol w:w="2501"/>
      </w:tblGrid>
      <w:tr>
        <w:trPr>
          <w:tblHeader w:val="true"/>
        </w:trPr>
        <w:tc>
          <w:tcPr>
            <w:tcW w:w="270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7"/>
                <w:szCs w:val="17"/>
              </w:rPr>
              <w:t>Channel</w:t>
            </w:r>
          </w:p>
        </w:tc>
        <w:tc>
          <w:tcPr>
            <w:tcW w:w="4159"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7"/>
                <w:szCs w:val="17"/>
              </w:rPr>
              <w:t>What goes here</w:t>
            </w:r>
          </w:p>
        </w:tc>
        <w:tc>
          <w:tcPr>
            <w:tcW w:w="2501"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7"/>
                <w:szCs w:val="17"/>
              </w:rPr>
              <w:t>Audience layer</w:t>
            </w:r>
          </w:p>
        </w:tc>
      </w:tr>
      <w:tr>
        <w:trPr/>
        <w:tc>
          <w:tcPr>
            <w:tcW w:w="27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Spotify / Apple / YouTube</w:t>
            </w:r>
          </w:p>
        </w:tc>
        <w:tc>
          <w:tcPr>
            <w:tcW w:w="41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Full episodes (audio + video)</w:t>
            </w:r>
          </w:p>
        </w:tc>
        <w:tc>
          <w:tcPr>
            <w:tcW w:w="250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Level 2 — deliberate listeners</w:t>
            </w:r>
          </w:p>
        </w:tc>
      </w:tr>
      <w:tr>
        <w:trPr/>
        <w:tc>
          <w:tcPr>
            <w:tcW w:w="27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WhatsApp</w:t>
            </w:r>
          </w:p>
        </w:tc>
        <w:tc>
          <w:tcPr>
            <w:tcW w:w="41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Short audio clips, mailbag answers, voice-note prompts</w:t>
            </w:r>
          </w:p>
        </w:tc>
        <w:tc>
          <w:tcPr>
            <w:tcW w:w="250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Level 1 — intimate circle</w:t>
            </w:r>
          </w:p>
        </w:tc>
      </w:tr>
      <w:tr>
        <w:trPr/>
        <w:tc>
          <w:tcPr>
            <w:tcW w:w="27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Community radio</w:t>
            </w:r>
          </w:p>
        </w:tc>
        <w:tc>
          <w:tcPr>
            <w:tcW w:w="41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Repackaged segments in local languages</w:t>
            </w:r>
          </w:p>
        </w:tc>
        <w:tc>
          <w:tcPr>
            <w:tcW w:w="250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Level 1 — Narok, Homa Bay, rural reach</w:t>
            </w:r>
          </w:p>
        </w:tc>
      </w:tr>
      <w:tr>
        <w:trPr/>
        <w:tc>
          <w:tcPr>
            <w:tcW w:w="27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TikTok / Instagram / X</w:t>
            </w:r>
          </w:p>
        </w:tc>
        <w:tc>
          <w:tcPr>
            <w:tcW w:w="41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Video clip-casts, the “clip to cut” from each episode</w:t>
            </w:r>
          </w:p>
        </w:tc>
        <w:tc>
          <w:tcPr>
            <w:tcW w:w="250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Level 3 — public sphere, youth</w:t>
            </w:r>
          </w:p>
        </w:tc>
      </w:tr>
    </w:tbl>
    <w:p>
      <w:pPr>
        <w:pStyle w:val="Normal"/>
        <w:spacing w:lineRule="exact" w:line="250" w:before="0" w:after="130"/>
        <w:rPr/>
      </w:pPr>
      <w:r>
        <w:rPr>
          <w:rFonts w:eastAsia="Calibri" w:cs="Calibri"/>
          <w:i/>
          <w:iCs/>
          <w:color w:val="8892B0"/>
          <w:sz w:val="15"/>
          <w:szCs w:val="15"/>
        </w:rPr>
        <w:t>Channel-layer logic: ImaarishaSRHR research report and social listening</w:t>
      </w:r>
      <w:r>
        <w:rPr>
          <w:rFonts w:eastAsia="Calibri" w:cs="Calibri"/>
          <w:b/>
          <w:bCs/>
          <w:color w:val="A8863F"/>
          <w:sz w:val="13"/>
          <w:szCs w:val="13"/>
          <w:vertAlign w:val="superscript"/>
        </w:rPr>
        <w:t xml:space="preserve"> [1,3]</w:t>
      </w:r>
      <w:r>
        <w:rPr>
          <w:rFonts w:eastAsia="Calibri" w:cs="Calibri"/>
          <w:i/>
          <w:iCs/>
          <w:color w:val="8892B0"/>
          <w:sz w:val="15"/>
          <w:szCs w:val="15"/>
        </w:rPr>
        <w:t>.</w:t>
      </w:r>
    </w:p>
    <w:p>
      <w:pPr>
        <w:pStyle w:val="Heading2"/>
        <w:keepNext w:val="true"/>
        <w:spacing w:before="240" w:after="100"/>
        <w:rPr/>
      </w:pPr>
      <w:r>
        <w:rPr>
          <w:rFonts w:eastAsia="Calibri" w:cs="Calibri" w:ascii="Calibri" w:hAnsi="Calibri"/>
          <w:b/>
          <w:bCs/>
          <w:color w:val="222B42"/>
          <w:sz w:val="25"/>
          <w:szCs w:val="25"/>
        </w:rPr>
        <w:t>Why community radio is non-negotiable</w:t>
      </w:r>
    </w:p>
    <w:p>
      <w:pPr>
        <w:pStyle w:val="Normal"/>
        <w:spacing w:lineRule="exact" w:line="268" w:before="0" w:after="120"/>
        <w:rPr/>
      </w:pPr>
      <w:r>
        <w:rPr>
          <w:rFonts w:eastAsia="Calibri" w:cs="Calibri"/>
          <w:color w:val="2C3340"/>
          <w:sz w:val="21"/>
          <w:szCs w:val="21"/>
        </w:rPr>
        <w:t>The clip-first strategy reaches feeds; community radio reaches the people the feeds miss. In the Tupange evaluation, radio was the single most cost-effective SBC component, and a Nairobi live-radio SRHR programme not only raised awareness but opened previously taboo parent–child conversations. For Narok and Homa Bay — near-absent from the digital conversation but intense in offline need — repackaging podcast segments for community radio is a primary channel, not an afterthought.</w:t>
      </w:r>
      <w:r>
        <w:rPr>
          <w:rFonts w:eastAsia="Calibri" w:cs="Calibri"/>
          <w:b/>
          <w:bCs/>
          <w:color w:val="A8863F"/>
          <w:sz w:val="13"/>
          <w:szCs w:val="13"/>
          <w:vertAlign w:val="superscript"/>
        </w:rPr>
        <w:t xml:space="preserve"> [7,6,3]</w:t>
      </w:r>
    </w:p>
    <w:p>
      <w:pPr>
        <w:pStyle w:val="Heading2"/>
        <w:keepNext w:val="true"/>
        <w:spacing w:before="240" w:after="100"/>
        <w:rPr/>
      </w:pPr>
      <w:r>
        <w:rPr>
          <w:rFonts w:eastAsia="Calibri" w:cs="Calibri" w:ascii="Calibri" w:hAnsi="Calibri"/>
          <w:b/>
          <w:bCs/>
          <w:color w:val="222B42"/>
          <w:sz w:val="25"/>
          <w:szCs w:val="25"/>
        </w:rPr>
        <w:t>Simple success markers</w:t>
      </w:r>
    </w:p>
    <w:p>
      <w:pPr>
        <w:pStyle w:val="ListParagraph"/>
        <w:numPr>
          <w:ilvl w:val="0"/>
          <w:numId w:val="3"/>
        </w:numPr>
        <w:spacing w:lineRule="exact" w:line="258" w:before="0" w:after="70"/>
        <w:rPr/>
      </w:pPr>
      <w:r>
        <w:rPr>
          <w:rFonts w:eastAsia="Calibri" w:cs="Calibri"/>
          <w:b w:val="false"/>
          <w:bCs w:val="false"/>
          <w:i w:val="false"/>
          <w:iCs w:val="false"/>
          <w:caps w:val="false"/>
          <w:smallCaps w:val="false"/>
          <w:color w:val="2C3340"/>
          <w:sz w:val="21"/>
          <w:szCs w:val="21"/>
        </w:rPr>
        <w:t>A recurring, recognisable host pair the audience trusts and returns to.</w:t>
      </w:r>
    </w:p>
    <w:p>
      <w:pPr>
        <w:pStyle w:val="ListParagraph"/>
        <w:numPr>
          <w:ilvl w:val="0"/>
          <w:numId w:val="1"/>
        </w:numPr>
        <w:spacing w:lineRule="exact" w:line="258" w:before="0" w:after="70"/>
        <w:rPr/>
      </w:pPr>
      <w:r>
        <w:rPr>
          <w:rFonts w:eastAsia="Calibri" w:cs="Calibri"/>
          <w:b w:val="false"/>
          <w:bCs w:val="false"/>
          <w:i w:val="false"/>
          <w:iCs w:val="false"/>
          <w:caps w:val="false"/>
          <w:smallCaps w:val="false"/>
          <w:color w:val="2C3340"/>
          <w:sz w:val="21"/>
          <w:szCs w:val="21"/>
        </w:rPr>
        <w:t>Clips travelling on WhatsApp and community radio — not just plays on Spotify.</w:t>
      </w:r>
    </w:p>
    <w:p>
      <w:pPr>
        <w:pStyle w:val="ListParagraph"/>
        <w:numPr>
          <w:ilvl w:val="0"/>
          <w:numId w:val="1"/>
        </w:numPr>
        <w:spacing w:lineRule="exact" w:line="258" w:before="0" w:after="70"/>
        <w:rPr/>
      </w:pPr>
      <w:r>
        <w:rPr>
          <w:rFonts w:eastAsia="Calibri" w:cs="Calibri"/>
          <w:b w:val="false"/>
          <w:bCs w:val="false"/>
          <w:i w:val="false"/>
          <w:iCs w:val="false"/>
          <w:caps w:val="false"/>
          <w:smallCaps w:val="false"/>
          <w:color w:val="2C3340"/>
          <w:sz w:val="21"/>
          <w:szCs w:val="21"/>
        </w:rPr>
        <w:t>Listener questions consistently setting the agenda (the mailbag is full).</w:t>
      </w:r>
    </w:p>
    <w:p>
      <w:pPr>
        <w:pStyle w:val="ListParagraph"/>
        <w:numPr>
          <w:ilvl w:val="0"/>
          <w:numId w:val="1"/>
        </w:numPr>
        <w:spacing w:lineRule="exact" w:line="258" w:before="0" w:after="70"/>
        <w:rPr/>
      </w:pPr>
      <w:r>
        <w:rPr>
          <w:rFonts w:eastAsia="Calibri" w:cs="Calibri"/>
          <w:b w:val="false"/>
          <w:bCs w:val="false"/>
          <w:i w:val="false"/>
          <w:iCs w:val="false"/>
          <w:caps w:val="false"/>
          <w:smallCaps w:val="false"/>
          <w:color w:val="2C3340"/>
          <w:sz w:val="21"/>
          <w:szCs w:val="21"/>
        </w:rPr>
        <w:t>Rapid-response episodes shipping within days of a myth surging.</w:t>
      </w:r>
    </w:p>
    <w:p>
      <w:pPr>
        <w:pStyle w:val="ListParagraph"/>
        <w:numPr>
          <w:ilvl w:val="0"/>
          <w:numId w:val="1"/>
        </w:numPr>
        <w:spacing w:lineRule="exact" w:line="258" w:before="0" w:after="70"/>
        <w:rPr/>
      </w:pPr>
      <w:r>
        <w:rPr>
          <w:rFonts w:eastAsia="Calibri" w:cs="Calibri"/>
          <w:b w:val="false"/>
          <w:bCs w:val="false"/>
          <w:i w:val="false"/>
          <w:iCs w:val="false"/>
          <w:caps w:val="false"/>
          <w:smallCaps w:val="false"/>
          <w:color w:val="2C3340"/>
          <w:sz w:val="21"/>
          <w:szCs w:val="21"/>
        </w:rPr>
        <w:t>Trusted clinicians and community voices — including older women — regularly on air.</w:t>
      </w:r>
    </w:p>
    <w:p>
      <w:pPr>
        <w:pStyle w:val="Normal"/>
        <w:spacing w:before="0" w:after="120"/>
        <w:rPr/>
      </w:pPr>
      <w:r>
        <w:rPr/>
      </w:r>
    </w:p>
    <w:p>
      <w:pPr>
        <w:pStyle w:val="Normal"/>
        <w:spacing w:before="100" w:after="0"/>
        <w:jc w:val="center"/>
        <w:rPr/>
      </w:pPr>
      <w:r>
        <w:rPr>
          <w:rFonts w:eastAsia="Calibri" w:cs="Calibri"/>
          <w:i/>
          <w:iCs/>
          <w:color w:val="222B42"/>
          <w:sz w:val="19"/>
          <w:szCs w:val="19"/>
        </w:rPr>
        <w:t>An always-on, multilingual, healthcare-professional-led conversation — built on the evidence, designed to disrupt the barriers it describes.</w:t>
      </w:r>
      <w:r>
        <w:br w:type="page"/>
      </w:r>
    </w:p>
    <w:p>
      <w:pPr>
        <w:pStyle w:val="Normal"/>
        <w:keepNext w:val="true"/>
        <w:spacing w:before="0" w:after="40"/>
        <w:rPr/>
      </w:pPr>
      <w:r>
        <w:rPr>
          <w:rFonts w:eastAsia="Calibri" w:cs="Calibri"/>
          <w:b/>
          <w:bCs/>
          <w:color w:val="C6A15B"/>
          <w:spacing w:val="30"/>
          <w:sz w:val="16"/>
          <w:szCs w:val="16"/>
        </w:rPr>
        <w:t>SOURCES</w:t>
      </w:r>
    </w:p>
    <w:p>
      <w:pPr>
        <w:pStyle w:val="Heading1"/>
        <w:keepNext w:val="true"/>
        <w:pBdr>
          <w:bottom w:val="single" w:sz="12" w:space="6" w:color="C6A15B"/>
        </w:pBdr>
        <w:spacing w:before="320" w:after="140"/>
        <w:rPr/>
      </w:pPr>
      <w:r>
        <w:rPr>
          <w:rFonts w:eastAsia="Calibri" w:cs="Calibri" w:ascii="Calibri" w:hAnsi="Calibri"/>
          <w:b/>
          <w:bCs/>
          <w:color w:val="111827"/>
          <w:sz w:val="30"/>
          <w:szCs w:val="30"/>
        </w:rPr>
        <w:t>Sources &amp; References</w:t>
      </w:r>
    </w:p>
    <w:p>
      <w:pPr>
        <w:pStyle w:val="Normal"/>
        <w:spacing w:lineRule="exact" w:line="264" w:before="0" w:after="120"/>
        <w:jc w:val="left"/>
        <w:rPr/>
      </w:pPr>
      <w:r>
        <w:rPr>
          <w:rFonts w:eastAsia="Calibri" w:cs="Calibri"/>
          <w:b w:val="false"/>
          <w:bCs w:val="false"/>
          <w:i w:val="false"/>
          <w:iCs w:val="false"/>
          <w:caps w:val="false"/>
          <w:smallCaps w:val="false"/>
          <w:color w:val="2C3340"/>
          <w:sz w:val="21"/>
          <w:szCs w:val="21"/>
        </w:rPr>
        <w:t>Sources [1]–[4] are the ImaarishaSRHR Phase 1 evidence base. Public and academic sources follow, in order of first appearance.</w:t>
      </w:r>
    </w:p>
    <w:p>
      <w:pPr>
        <w:pStyle w:val="Normal"/>
        <w:spacing w:lineRule="exact" w:line="252" w:before="0" w:after="70"/>
        <w:ind w:hanging="360" w:left="360"/>
        <w:rPr/>
      </w:pPr>
      <w:r>
        <w:rPr>
          <w:rFonts w:eastAsia="Calibri" w:cs="Calibri"/>
          <w:b/>
          <w:bCs/>
          <w:color w:val="A8863F"/>
          <w:sz w:val="18"/>
          <w:szCs w:val="18"/>
        </w:rPr>
        <w:t xml:space="preserve">[1]  </w:t>
      </w:r>
      <w:r>
        <w:rPr>
          <w:rFonts w:eastAsia="Calibri" w:cs="Calibri"/>
          <w:color w:val="2C3340"/>
          <w:sz w:val="18"/>
          <w:szCs w:val="18"/>
        </w:rPr>
        <w:t>CoMeT / ImaarishaSRHR, “Deconstructing Cultural &amp; Patriarchal Barriers to SRHR Access and Enjoyment in Kenya,” triangulated mixed-methods research report, March 2026.</w:t>
      </w:r>
    </w:p>
    <w:p>
      <w:pPr>
        <w:pStyle w:val="Normal"/>
        <w:spacing w:lineRule="exact" w:line="252" w:before="0" w:after="70"/>
        <w:ind w:hanging="360" w:left="360"/>
        <w:rPr/>
      </w:pPr>
      <w:r>
        <w:rPr>
          <w:rFonts w:eastAsia="Calibri" w:cs="Calibri"/>
          <w:b/>
          <w:bCs/>
          <w:color w:val="A8863F"/>
          <w:sz w:val="18"/>
          <w:szCs w:val="18"/>
        </w:rPr>
        <w:t xml:space="preserve">[2]  </w:t>
      </w:r>
      <w:r>
        <w:rPr>
          <w:rFonts w:eastAsia="Calibri" w:cs="Calibri"/>
          <w:color w:val="2C3340"/>
          <w:sz w:val="18"/>
          <w:szCs w:val="18"/>
        </w:rPr>
        <w:t>TIFA Research, “How Patriarchy, Culture &amp; Disinformation Influence SRHR Access — Opinion Poll” (n=2,013, all 47 counties, ±2.18%), May 2026.</w:t>
      </w:r>
    </w:p>
    <w:p>
      <w:pPr>
        <w:pStyle w:val="Normal"/>
        <w:spacing w:lineRule="exact" w:line="252" w:before="0" w:after="70"/>
        <w:ind w:hanging="360" w:left="360"/>
        <w:rPr/>
      </w:pPr>
      <w:r>
        <w:rPr>
          <w:rFonts w:eastAsia="Calibri" w:cs="Calibri"/>
          <w:b/>
          <w:bCs/>
          <w:color w:val="A8863F"/>
          <w:sz w:val="18"/>
          <w:szCs w:val="18"/>
        </w:rPr>
        <w:t xml:space="preserve">[3]  </w:t>
      </w:r>
      <w:r>
        <w:rPr>
          <w:rFonts w:eastAsia="Calibri" w:cs="Calibri"/>
          <w:color w:val="2C3340"/>
          <w:sz w:val="18"/>
          <w:szCs w:val="18"/>
        </w:rPr>
        <w:t>ImaarishaSRHR Social Listening dataset — 419,720 posts (Jul 2025–Feb 2026).</w:t>
      </w:r>
    </w:p>
    <w:p>
      <w:pPr>
        <w:pStyle w:val="Normal"/>
        <w:spacing w:lineRule="exact" w:line="252" w:before="0" w:after="70"/>
        <w:ind w:hanging="360" w:left="360"/>
        <w:rPr/>
      </w:pPr>
      <w:r>
        <w:rPr>
          <w:rFonts w:eastAsia="Calibri" w:cs="Calibri"/>
          <w:b/>
          <w:bCs/>
          <w:color w:val="A8863F"/>
          <w:sz w:val="18"/>
          <w:szCs w:val="18"/>
        </w:rPr>
        <w:t xml:space="preserve">[4]  </w:t>
      </w:r>
      <w:r>
        <w:rPr>
          <w:rFonts w:eastAsia="Calibri" w:cs="Calibri"/>
          <w:color w:val="2C3340"/>
          <w:sz w:val="18"/>
          <w:szCs w:val="18"/>
        </w:rPr>
        <w:t>ImaarishaSRHR WhatsApp Focus Group Discussions — women 18–35, 4 sites, 2025–2026.</w:t>
      </w:r>
    </w:p>
    <w:p>
      <w:pPr>
        <w:pStyle w:val="Normal"/>
        <w:spacing w:lineRule="exact" w:line="252" w:before="0" w:after="70"/>
        <w:ind w:hanging="360" w:left="360"/>
        <w:rPr/>
      </w:pPr>
      <w:r>
        <w:rPr>
          <w:rFonts w:eastAsia="Calibri" w:cs="Calibri"/>
          <w:b/>
          <w:bCs/>
          <w:color w:val="A8863F"/>
          <w:sz w:val="18"/>
          <w:szCs w:val="18"/>
        </w:rPr>
        <w:t xml:space="preserve">[5]  </w:t>
      </w:r>
      <w:r>
        <w:rPr>
          <w:rFonts w:eastAsia="Calibri" w:cs="Calibri"/>
          <w:color w:val="2C3340"/>
          <w:sz w:val="18"/>
          <w:szCs w:val="18"/>
        </w:rPr>
        <w:t>Singhal A., Rogers E.M., “Entertainment-Education: A Communication Strategy for Social Change,” Routledge, 1999.</w:t>
      </w:r>
      <w:r>
        <w:rPr>
          <w:rFonts w:eastAsia="Calibri" w:cs="Calibri"/>
          <w:i/>
          <w:iCs/>
          <w:color w:val="8892B0"/>
          <w:sz w:val="15"/>
          <w:szCs w:val="15"/>
        </w:rPr>
        <w:t xml:space="preserve">  https://www.routledge.com/</w:t>
      </w:r>
    </w:p>
    <w:p>
      <w:pPr>
        <w:pStyle w:val="Normal"/>
        <w:spacing w:lineRule="exact" w:line="252" w:before="0" w:after="70"/>
        <w:ind w:hanging="360" w:left="360"/>
        <w:rPr/>
      </w:pPr>
      <w:r>
        <w:rPr>
          <w:rFonts w:eastAsia="Calibri" w:cs="Calibri"/>
          <w:b/>
          <w:bCs/>
          <w:color w:val="A8863F"/>
          <w:sz w:val="18"/>
          <w:szCs w:val="18"/>
        </w:rPr>
        <w:t xml:space="preserve">[6]  </w:t>
      </w:r>
      <w:r>
        <w:rPr>
          <w:rFonts w:eastAsia="Calibri" w:cs="Calibri"/>
          <w:color w:val="2C3340"/>
          <w:sz w:val="18"/>
          <w:szCs w:val="18"/>
        </w:rPr>
        <w:t>“Using radio programming to reach young adolescents with gender and sexual health information in a low-income urban setting in Kenya,” Reproductive Health, 2025.</w:t>
      </w:r>
      <w:r>
        <w:rPr>
          <w:rFonts w:eastAsia="Calibri" w:cs="Calibri"/>
          <w:i/>
          <w:iCs/>
          <w:color w:val="8892B0"/>
          <w:sz w:val="15"/>
          <w:szCs w:val="15"/>
        </w:rPr>
        <w:t xml:space="preserve">  https://link.springer.com/article/10.1186/s12978-025-01984-5</w:t>
      </w:r>
    </w:p>
    <w:p>
      <w:pPr>
        <w:pStyle w:val="Normal"/>
        <w:spacing w:lineRule="exact" w:line="252" w:before="0" w:after="70"/>
        <w:ind w:hanging="360" w:left="360"/>
        <w:rPr/>
      </w:pPr>
      <w:r>
        <w:rPr>
          <w:rFonts w:eastAsia="Calibri" w:cs="Calibri"/>
          <w:b/>
          <w:bCs/>
          <w:color w:val="A8863F"/>
          <w:sz w:val="18"/>
          <w:szCs w:val="18"/>
        </w:rPr>
        <w:t xml:space="preserve">[7]  </w:t>
      </w:r>
      <w:r>
        <w:rPr>
          <w:rFonts w:eastAsia="Calibri" w:cs="Calibri"/>
          <w:color w:val="2C3340"/>
          <w:sz w:val="18"/>
          <w:szCs w:val="18"/>
        </w:rPr>
        <w:t>Winston J. et al., “Longitudinal Evaluation of the Tupange Urban Family Planning Program in Kenya,” International Perspectives on Sexual and Reproductive Health, 2018 (radio the most cost-effective component).</w:t>
      </w:r>
      <w:r>
        <w:rPr>
          <w:rFonts w:eastAsia="Calibri" w:cs="Calibri"/>
          <w:i/>
          <w:iCs/>
          <w:color w:val="8892B0"/>
          <w:sz w:val="15"/>
          <w:szCs w:val="15"/>
        </w:rPr>
        <w:t xml:space="preserve">  https://www.guttmacher.org/journals/ipsrh/2017/11/longitudinal-evaluation-tupange-urban-family-planning-program-kenya</w:t>
      </w:r>
    </w:p>
    <w:p>
      <w:pPr>
        <w:pStyle w:val="Normal"/>
        <w:spacing w:lineRule="exact" w:line="252" w:before="0" w:after="70"/>
        <w:ind w:hanging="360" w:left="360"/>
        <w:rPr/>
      </w:pPr>
      <w:r>
        <w:rPr>
          <w:rFonts w:eastAsia="Calibri" w:cs="Calibri"/>
          <w:b/>
          <w:bCs/>
          <w:color w:val="A8863F"/>
          <w:sz w:val="18"/>
          <w:szCs w:val="18"/>
        </w:rPr>
        <w:t xml:space="preserve">[8]  </w:t>
      </w:r>
      <w:r>
        <w:rPr>
          <w:rFonts w:eastAsia="Calibri" w:cs="Calibri"/>
          <w:color w:val="2C3340"/>
          <w:sz w:val="18"/>
          <w:szCs w:val="18"/>
        </w:rPr>
        <w:t>Perrier M.-J., Martin Ginis K.A., “Changing health-promoting behaviours through narrative interventions: A systematic review,” Journal of Health Psychology, 2018.</w:t>
      </w:r>
      <w:r>
        <w:rPr>
          <w:rFonts w:eastAsia="Calibri" w:cs="Calibri"/>
          <w:i/>
          <w:iCs/>
          <w:color w:val="8892B0"/>
          <w:sz w:val="15"/>
          <w:szCs w:val="15"/>
        </w:rPr>
        <w:t xml:space="preserve">  https://journals.sagepub.com/doi/10.1177/1359105316656243</w:t>
      </w:r>
    </w:p>
    <w:p>
      <w:pPr>
        <w:pStyle w:val="Normal"/>
        <w:spacing w:lineRule="exact" w:line="252" w:before="0" w:after="70"/>
        <w:ind w:hanging="360" w:left="360"/>
        <w:rPr/>
      </w:pPr>
      <w:r>
        <w:rPr>
          <w:rFonts w:eastAsia="Calibri" w:cs="Calibri"/>
          <w:b/>
          <w:bCs/>
          <w:color w:val="A8863F"/>
          <w:sz w:val="18"/>
          <w:szCs w:val="18"/>
        </w:rPr>
        <w:t xml:space="preserve">[9]  </w:t>
      </w:r>
      <w:r>
        <w:rPr>
          <w:rFonts w:eastAsia="Calibri" w:cs="Calibri"/>
          <w:color w:val="2C3340"/>
          <w:sz w:val="18"/>
          <w:szCs w:val="18"/>
        </w:rPr>
        <w:t>Dichter M.E. et al., “Survivor storytelling for social change,” Journal of Interpersonal Violence, 2022.</w:t>
      </w:r>
      <w:r>
        <w:rPr>
          <w:rFonts w:eastAsia="Calibri" w:cs="Calibri"/>
          <w:i/>
          <w:iCs/>
          <w:color w:val="8892B0"/>
          <w:sz w:val="15"/>
          <w:szCs w:val="15"/>
        </w:rPr>
        <w:t xml:space="preserve">  https://doi.org/10.1177/10778012211024267</w:t>
      </w:r>
    </w:p>
    <w:p>
      <w:pPr>
        <w:pStyle w:val="Normal"/>
        <w:spacing w:lineRule="exact" w:line="252" w:before="0" w:after="70"/>
        <w:ind w:hanging="360" w:left="360"/>
        <w:rPr/>
      </w:pPr>
      <w:r>
        <w:rPr>
          <w:rFonts w:eastAsia="Calibri" w:cs="Calibri"/>
          <w:b/>
          <w:bCs/>
          <w:color w:val="A8863F"/>
          <w:sz w:val="18"/>
          <w:szCs w:val="18"/>
        </w:rPr>
        <w:t xml:space="preserve">[10]  </w:t>
      </w:r>
      <w:r>
        <w:rPr>
          <w:rFonts w:eastAsia="Calibri" w:cs="Calibri"/>
          <w:color w:val="2C3340"/>
          <w:sz w:val="18"/>
          <w:szCs w:val="18"/>
        </w:rPr>
        <w:t>DataReportal, “Digital 2025: Kenya,” Kepios / Meltwater / We Are Social, 2025.</w:t>
      </w:r>
      <w:r>
        <w:rPr>
          <w:rFonts w:eastAsia="Calibri" w:cs="Calibri"/>
          <w:i/>
          <w:iCs/>
          <w:color w:val="8892B0"/>
          <w:sz w:val="15"/>
          <w:szCs w:val="15"/>
        </w:rPr>
        <w:t xml:space="preserve">  https://datareportal.com/reports/digital-2025-kenya</w:t>
      </w:r>
    </w:p>
    <w:p>
      <w:pPr>
        <w:pStyle w:val="Normal"/>
        <w:spacing w:lineRule="exact" w:line="252" w:before="0" w:after="70"/>
        <w:ind w:hanging="360" w:left="360"/>
        <w:rPr/>
      </w:pPr>
      <w:r>
        <w:rPr>
          <w:rFonts w:eastAsia="Calibri" w:cs="Calibri"/>
          <w:b/>
          <w:bCs/>
          <w:color w:val="A8863F"/>
          <w:sz w:val="18"/>
          <w:szCs w:val="18"/>
        </w:rPr>
        <w:t xml:space="preserve">[11]  </w:t>
      </w:r>
      <w:r>
        <w:rPr>
          <w:rFonts w:eastAsia="Calibri" w:cs="Calibri"/>
          <w:color w:val="2C3340"/>
          <w:sz w:val="18"/>
          <w:szCs w:val="18"/>
        </w:rPr>
        <w:t>Ruark A. et al., “Increasing Family Planning Access in Kenya Through Engagement of Faith-Based Health Facilities…,” Global Health: Science and Practice 7(3), 2019.</w:t>
      </w:r>
      <w:r>
        <w:rPr>
          <w:rFonts w:eastAsia="Calibri" w:cs="Calibri"/>
          <w:i/>
          <w:iCs/>
          <w:color w:val="8892B0"/>
          <w:sz w:val="15"/>
          <w:szCs w:val="15"/>
        </w:rPr>
        <w:t xml:space="preserve">  https://www.ghspjournal.org/content/7/3/478</w:t>
      </w:r>
    </w:p>
    <w:p>
      <w:pPr>
        <w:pStyle w:val="Normal"/>
        <w:spacing w:lineRule="exact" w:line="252" w:before="0" w:after="70"/>
        <w:ind w:hanging="360" w:left="360"/>
        <w:rPr/>
      </w:pPr>
      <w:r>
        <w:rPr>
          <w:rFonts w:eastAsia="Calibri" w:cs="Calibri"/>
          <w:b/>
          <w:bCs/>
          <w:color w:val="A8863F"/>
          <w:sz w:val="18"/>
          <w:szCs w:val="18"/>
        </w:rPr>
        <w:t xml:space="preserve">[12]  </w:t>
      </w:r>
      <w:r>
        <w:rPr>
          <w:rFonts w:eastAsia="Calibri" w:cs="Calibri"/>
          <w:color w:val="2C3340"/>
          <w:sz w:val="18"/>
          <w:szCs w:val="18"/>
        </w:rPr>
        <w:t>Lewandowsky S., Cook J. et al., “The Debunking Handbook 2020.”</w:t>
      </w:r>
      <w:r>
        <w:rPr>
          <w:rFonts w:eastAsia="Calibri" w:cs="Calibri"/>
          <w:i/>
          <w:iCs/>
          <w:color w:val="8892B0"/>
          <w:sz w:val="15"/>
          <w:szCs w:val="15"/>
        </w:rPr>
        <w:t xml:space="preserve">  https://digitalcommons.unl.edu/context/scholcom/article/1247/viewcontent/DebunkingHandbook2020.pdf</w:t>
      </w:r>
    </w:p>
    <w:p>
      <w:pPr>
        <w:pStyle w:val="Normal"/>
        <w:spacing w:before="160" w:after="0"/>
        <w:jc w:val="center"/>
        <w:rPr/>
      </w:pPr>
      <w:r>
        <w:rPr>
          <w:rFonts w:eastAsia="Calibri" w:cs="Calibri"/>
          <w:color w:val="8892B0"/>
          <w:sz w:val="15"/>
          <w:szCs w:val="15"/>
        </w:rPr>
        <w:t>Community Media Trust (CoMeT)  ·  imaarishasrhr.org  ·  cmt.kenya@gmail.com</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80" w:right="1180" w:gutter="0" w:header="708" w:top="1180" w:footer="708" w:bottom="108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D9DDE5"/>
      </w:pBdr>
      <w:tabs>
        <w:tab w:val="clear" w:pos="720"/>
        <w:tab w:val="right" w:pos="9360" w:leader="none"/>
      </w:tabs>
      <w:spacing w:before="0" w:after="0"/>
      <w:rPr/>
    </w:pPr>
    <w:r>
      <w:rPr>
        <w:rFonts w:eastAsia="Calibri" w:cs="Calibri"/>
        <w:color w:val="8892B0"/>
        <w:sz w:val="14"/>
        <w:szCs w:val="14"/>
      </w:rPr>
      <w:t>Community Media Trust (CoMeT)  ·  Phase 2 Media Development</w:t>
      <w:tab/>
      <w:tab/>
      <w:t xml:space="preserve">Page </w:t>
    </w:r>
    <w:r>
      <w:rPr/>
      <w:fldChar w:fldCharType="begin"/>
    </w:r>
    <w:r>
      <w:rPr/>
      <w:instrText xml:space="preserve"> PAGE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D9DDE5"/>
      </w:pBdr>
      <w:tabs>
        <w:tab w:val="clear" w:pos="720"/>
        <w:tab w:val="right" w:pos="9360" w:leader="none"/>
      </w:tabs>
      <w:spacing w:before="0" w:after="0"/>
      <w:rPr/>
    </w:pPr>
    <w:r>
      <w:rPr>
        <w:rFonts w:eastAsia="Calibri" w:cs="Calibri"/>
        <w:color w:val="8892B0"/>
        <w:sz w:val="14"/>
        <w:szCs w:val="14"/>
      </w:rPr>
      <w:t>Community Media Trust (CoMeT)  ·  Phase 2 Media Development</w:t>
      <w:tab/>
      <w:tab/>
      <w:t xml:space="preserve">Page </w:t>
    </w:r>
    <w:r>
      <w:rPr/>
      <w:fldChar w:fldCharType="begin"/>
    </w:r>
    <w:r>
      <w:rPr/>
      <w:instrText xml:space="preserve"> PAGE </w:instrText>
    </w:r>
    <w:r>
      <w:rPr/>
      <w:fldChar w:fldCharType="separate"/>
    </w:r>
    <w:r>
      <w:rPr/>
      <w:t>11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D9DDE5"/>
      </w:pBdr>
      <w:spacing w:before="0" w:after="0"/>
      <w:rPr/>
    </w:pPr>
    <w:r>
      <w:rPr>
        <w:rFonts w:eastAsia="Calibri" w:cs="Calibri"/>
        <w:b/>
        <w:bCs/>
        <w:color w:val="111827"/>
        <w:sz w:val="15"/>
        <w:szCs w:val="15"/>
      </w:rPr>
      <w:t>Imaarisha</w:t>
    </w:r>
    <w:r>
      <w:rPr>
        <w:rFonts w:eastAsia="Calibri" w:cs="Calibri"/>
        <w:b/>
        <w:bCs/>
        <w:color w:val="C6A15B"/>
        <w:sz w:val="15"/>
        <w:szCs w:val="15"/>
      </w:rPr>
      <w:t>SRHR</w:t>
    </w:r>
    <w:r>
      <w:rPr>
        <w:rFonts w:eastAsia="Calibri" w:cs="Calibri"/>
        <w:color w:val="8892B0"/>
        <w:sz w:val="15"/>
        <w:szCs w:val="15"/>
      </w:rPr>
      <w:t xml:space="preserve">   ·   The Podcast — A 5-Part Series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D9DDE5"/>
      </w:pBdr>
      <w:spacing w:before="0" w:after="0"/>
      <w:rPr/>
    </w:pPr>
    <w:r>
      <w:rPr>
        <w:rFonts w:eastAsia="Calibri" w:cs="Calibri"/>
        <w:b/>
        <w:bCs/>
        <w:color w:val="111827"/>
        <w:sz w:val="15"/>
        <w:szCs w:val="15"/>
      </w:rPr>
      <w:t>Imaarisha</w:t>
    </w:r>
    <w:r>
      <w:rPr>
        <w:rFonts w:eastAsia="Calibri" w:cs="Calibri"/>
        <w:b/>
        <w:bCs/>
        <w:color w:val="C6A15B"/>
        <w:sz w:val="15"/>
        <w:szCs w:val="15"/>
      </w:rPr>
      <w:t>SRHR</w:t>
    </w:r>
    <w:r>
      <w:rPr>
        <w:rFonts w:eastAsia="Calibri" w:cs="Calibri"/>
        <w:color w:val="8892B0"/>
        <w:sz w:val="15"/>
        <w:szCs w:val="15"/>
      </w:rPr>
      <w:t xml:space="preserve">   ·   The Podcast — A 5-Part Series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00"/>
      </w:pPr>
      <w:rPr>
        <w:rFonts w:ascii="Symbol" w:hAnsi="Symbol" w:cs="Symbol" w:hint="default"/>
        <w:color w:val="C6A15B"/>
      </w:rPr>
    </w:lvl>
    <w:lvl w:ilvl="1">
      <w:start w:val="1"/>
      <w:numFmt w:val="bullet"/>
      <w:lvlText w:val=""/>
      <w:lvlJc w:val="left"/>
      <w:pPr>
        <w:tabs>
          <w:tab w:val="num" w:pos="0"/>
        </w:tabs>
        <w:ind w:left="720" w:hanging="200"/>
      </w:pPr>
      <w:rPr>
        <w:rFonts w:ascii="Symbol" w:hAnsi="Symbol" w:cs="Symbol" w:hint="default"/>
        <w:color w:val="C6A15B"/>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C3340"/>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2C3340"/>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2C3340"/>
      <w:kern w:val="0"/>
      <w:sz w:val="21"/>
      <w:szCs w:val="21"/>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2C3340"/>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2026-09-11T18:31:11Z</dcterms:created>
  <dc:creator>Un-named</dc:creator>
  <dc:description/>
  <dc:language>en-US</dc:language>
  <cp:lastModifiedBy>Un-named</cp:lastModifiedBy>
  <dcterms:modified xsi:type="dcterms:W3CDTF">2026-09-11T18:31:11Z</dcterms:modified>
  <cp:revision>1</cp:revision>
  <dc:subject/>
  <dc:title/>
</cp:coreProperties>
</file>