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9A84C"/>
          <w:sz w:val="48"/>
          <w:szCs w:val="48"/>
        </w:rPr>
        <w:t xml:space="preserve">ImaarishaSRHR Hub 2.0</w:t>
      </w:r>
    </w:p>
    <w:p>
      <w:pPr>
        <w:spacing w:after="60"/>
      </w:pPr>
      <w:r>
        <w:rPr>
          <w:b/>
          <w:bCs/>
          <w:sz w:val="30"/>
          <w:szCs w:val="30"/>
        </w:rPr>
        <w:t xml:space="preserve">Rebuild Blueprint — From Member Hub to Movement Infrastructure</w:t>
      </w:r>
    </w:p>
    <w:p>
      <w:pPr>
        <w:spacing w:after="140"/>
      </w:pPr>
      <w:r>
        <w:t xml:space="preserve">June 2026 · Community Media Trust · imaarishasrhr.org · Grounded in the Phase 1 Insight Report, the TIFA opinion poll (n=2,013) and the social listening study (419,720 posts)</w:t>
      </w:r>
    </w:p>
    <w:p>
      <w:pPr>
        <w:pBdr>
          <w:bottom w:val="single" w:color="C9A84C" w:sz="6" w:space="1"/>
        </w:pBdr>
        <w:spacing w:after="240"/>
      </w:pPr>
    </w:p>
    <w:p>
      <w:pPr>
        <w:pStyle w:val="Heading1"/>
      </w:pPr>
      <w:r>
        <w:t xml:space="preserve">1. The argument</w:t>
      </w:r>
    </w:p>
    <w:p>
      <w:pPr>
        <w:spacing w:after="140"/>
      </w:pPr>
      <w:r>
        <w:t xml:space="preserve">Your own research makes the case for what this hub must become. Phase 1 found that Kenya’s SRHR crisis is a narrative crisis: only 3.6% of online SRHR content is positive, faith actors out-reach media institutions 7× per post, 47% of Kenyans believe contraception causes infertility, and a single faith-healing disinformation wave reached 16.8 million people in eight weeks. Meanwhile the sector’s response is fragmented across CSOs that the research itself describes as static and insular.</w:t>
      </w:r>
    </w:p>
    <w:p>
      <w:pPr>
        <w:spacing w:after="140"/>
      </w:pPr>
      <w:r>
        <w:t xml:space="preserve">The hub’s opportunity is to be the operational answer: the shared infrastructure that lets a collective of disruptive SRHR practitioners do together what no single big CSO does — watch the narrative environment in real time, respond to disinformation within hours, and hold the sector publicly accountable. That positioning is what makes the hub attractive to both partners (it gives the collective teeth) and young people (it gives them credible, judgment-free information where they actually are).</w:t>
      </w:r>
    </w:p>
    <w:p>
      <w:pPr>
        <w:spacing w:after="140"/>
      </w:pPr>
      <w:r>
        <w:t xml:space="preserve">One sentence of positioning to use everywhere: "The big organisations have offices. We have an operations room."</w:t>
      </w:r>
    </w:p>
    <w:p>
      <w:pPr>
        <w:pStyle w:val="Heading1"/>
      </w:pPr>
      <w:r>
        <w:t xml:space="preserve">2. Where the hub is today</w:t>
      </w:r>
    </w:p>
    <w:p>
      <w:pPr>
        <w:spacing w:after="140"/>
      </w:pPr>
      <w:r>
        <w:t xml:space="preserve">A feature-rich but fragile single-file build: forum, resource library, events with RSVPs, member/org directory, marketplace (exchange), campaigns, disinformation claims table and SRHR tracker — all in one 9,000-line HTML file served statically, with a dormant Next.js scaffold around it.</w:t>
      </w:r>
    </w:p>
    <w:p>
      <w:pPr>
        <w:pStyle w:val="ListParagraph"/>
        <w:numPr>
          <w:ilvl w:val="0"/>
          <w:numId w:val="2"/>
        </w:numPr>
        <w:spacing w:after="90"/>
      </w:pPr>
      <w:r>
        <w:rPr>
          <w:b/>
          <w:bCs/>
        </w:rPr>
        <w:t xml:space="preserve">Fixed in this pass: </w:t>
      </w:r>
      <w:r>
        <w:t xml:space="preserve">stored XSS across all render paths (32 escape points), 59 corrupted characters on the live page, five obsolete builds removed from public URLs.</w:t>
      </w:r>
    </w:p>
    <w:p>
      <w:pPr>
        <w:pStyle w:val="ListParagraph"/>
        <w:numPr>
          <w:ilvl w:val="0"/>
          <w:numId w:val="2"/>
        </w:numPr>
        <w:spacing w:after="90"/>
      </w:pPr>
      <w:r>
        <w:rPr>
          <w:b/>
          <w:bCs/>
        </w:rPr>
        <w:t xml:space="preserve">Still open: </w:t>
      </w:r>
      <w:r>
        <w:t xml:space="preserve">RLS audit (supabase/rls-audit.sql — run section 1), server-side admin flag to replace the client-side email check, and the dead Next.js scaffolding decision (delete it or adopt it).</w:t>
      </w:r>
    </w:p>
    <w:p>
      <w:pPr>
        <w:pStyle w:val="Heading1"/>
      </w:pPr>
      <w:r>
        <w:t xml:space="preserve">3. Recommended architecture</w:t>
      </w:r>
    </w:p>
    <w:p>
      <w:pPr>
        <w:spacing w:after="140"/>
      </w:pPr>
      <w:r>
        <w:t xml:space="preserve">Rebuild as a Vite + React PWA — the exact stack already running five FemSaidia apps. One team, one pattern, shared components (the FemSaidia mobile nav, PWA config, Supabase patterns and admin-portal structure port directly). Drop the unused Next.js scaffold. Keep Supabase as the backend with hardened RLS and a profiles.is_admin flag enforced in policies, not in JavaScript.</w:t>
      </w:r>
    </w:p>
    <w:p>
      <w:pPr>
        <w:spacing w:after="140"/>
      </w:pPr>
      <w:r>
        <w:t xml:space="preserve">Split the monolith into the same shape as FemSaidia: a public PWA (the hub), and the admin functions either in-app behind real auth or in a small admin app. Single repo, per-app folders, Vercel deploys per subdomain.</w:t>
      </w:r>
    </w:p>
    <w:p>
      <w:pPr>
        <w:pStyle w:val="Heading1"/>
      </w:pPr>
      <w:r>
        <w:t xml:space="preserve">4. Mobile nav &amp; PWA</w:t>
      </w:r>
    </w:p>
    <w:p>
      <w:pPr>
        <w:spacing w:after="140"/>
      </w:pPr>
      <w:r>
        <w:t xml:space="preserve">Five bottom-nav groups, mirroring the FemSaidia pattern that already works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50"/>
        <w:gridCol w:w="4210"/>
      </w:tblGrid>
      <w:tr>
        <w:tc>
          <w:tcPr>
            <w:tcW w:type="dxa" w:w="1500"/>
            <w:tcBorders>
              <w:top w:val="single" w:color="CCCCCC" w:sz="1"/>
              <w:left w:val="single" w:color="CCCCCC" w:sz="1"/>
              <w:bottom w:val="single" w:color="CCCCCC" w:sz="1"/>
              <w:right w:val="single" w:color="CCCCCC" w:sz="1"/>
            </w:tcBorders>
            <w:shd w:fill="F0E8D8" w:val="clear"/>
            <w:tcMar>
              <w:top w:type="dxa" w:w="80"/>
              <w:left w:type="dxa" w:w="120"/>
              <w:bottom w:type="dxa" w:w="80"/>
              <w:right w:type="dxa" w:w="120"/>
            </w:tcMar>
          </w:tcPr>
          <w:p>
            <w:r>
              <w:rPr>
                <w:b/>
                <w:bCs/>
              </w:rPr>
              <w:t xml:space="preserve">Group</w:t>
            </w:r>
          </w:p>
        </w:tc>
        <w:tc>
          <w:tcPr>
            <w:tcW w:type="dxa" w:w="3650"/>
            <w:tcBorders>
              <w:top w:val="single" w:color="CCCCCC" w:sz="1"/>
              <w:left w:val="single" w:color="CCCCCC" w:sz="1"/>
              <w:bottom w:val="single" w:color="CCCCCC" w:sz="1"/>
              <w:right w:val="single" w:color="CCCCCC" w:sz="1"/>
            </w:tcBorders>
            <w:shd w:fill="F0E8D8" w:val="clear"/>
            <w:tcMar>
              <w:top w:type="dxa" w:w="80"/>
              <w:left w:type="dxa" w:w="120"/>
              <w:bottom w:type="dxa" w:w="80"/>
              <w:right w:type="dxa" w:w="120"/>
            </w:tcMar>
          </w:tcPr>
          <w:p>
            <w:r>
              <w:rPr>
                <w:b/>
                <w:bCs/>
              </w:rPr>
              <w:t xml:space="preserve">Tabs</w:t>
            </w:r>
          </w:p>
        </w:tc>
        <w:tc>
          <w:tcPr>
            <w:tcW w:type="dxa" w:w="4210"/>
            <w:tcBorders>
              <w:top w:val="single" w:color="CCCCCC" w:sz="1"/>
              <w:left w:val="single" w:color="CCCCCC" w:sz="1"/>
              <w:bottom w:val="single" w:color="CCCCCC" w:sz="1"/>
              <w:right w:val="single" w:color="CCCCCC" w:sz="1"/>
            </w:tcBorders>
            <w:shd w:fill="F0E8D8" w:val="clear"/>
            <w:tcMar>
              <w:top w:type="dxa" w:w="80"/>
              <w:left w:type="dxa" w:w="120"/>
              <w:bottom w:type="dxa" w:w="80"/>
              <w:right w:type="dxa" w:w="120"/>
            </w:tcMar>
          </w:tcPr>
          <w:p>
            <w:r>
              <w:rPr>
                <w:b/>
                <w:bCs/>
              </w:rPr>
              <w:t xml:space="preserve">What lives there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Pulse</w:t>
            </w:r>
          </w:p>
        </w:tc>
        <w:tc>
          <w:tcPr>
            <w:tcW w:type="dxa" w:w="42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feed: latest intel, trending myths, new resources, upcoming events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Intel</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Radar · Tracker · Briefs</w:t>
            </w:r>
          </w:p>
        </w:tc>
        <w:tc>
          <w:tcPr>
            <w:tcW w:type="dxa" w:w="42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Disinformation radar, county SRHR scorecard, downloadable briefs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Forum</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Discussions · Rooms</w:t>
            </w:r>
          </w:p>
        </w:tc>
        <w:tc>
          <w:tcPr>
            <w:tcW w:type="dxa" w:w="42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forum + private coalition working rooms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Exchange</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Marketplace · Directory</w:t>
            </w:r>
          </w:p>
        </w:tc>
        <w:tc>
          <w:tcPr>
            <w:tcW w:type="dxa" w:w="42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Resource/skill exchange + member &amp; org profiles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Ukweli</w:t>
            </w:r>
          </w:p>
        </w:tc>
        <w:tc>
          <w:tcPr>
            <w:tcW w:type="dxa" w:w="36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 · Myths · Learn</w:t>
            </w:r>
          </w:p>
        </w:tc>
        <w:tc>
          <w:tcPr>
            <w:tcW w:type="dxa" w:w="42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Youth-facing: anonymous Q&amp;A, myth cards, video/podcast library</w:t>
            </w:r>
          </w:p>
        </w:tc>
      </w:tr>
    </w:tbl>
    <w:p>
      <w:pPr>
        <w:spacing w:after="60"/>
      </w:pPr>
      <w:r>
        <w:t xml:space="preserve"/>
      </w:r>
    </w:p>
    <w:p>
      <w:pPr>
        <w:spacing w:after="140"/>
      </w:pPr>
      <w:r>
        <w:t xml:space="preserve">PWA essentials: manifest + service worker (cache shell and resource library for offline — Narok and Homa Bay are data-poor and digitally silent; offline-first is an equity decision, your research says programme resources must not follow digital visibility), install prompts, and push notifications for radar alerts and forum replies. Multilingual from day one: English / Kiswahili / Sheng toggle — persisted per user.</w:t>
      </w:r>
    </w:p>
    <w:p>
      <w:pPr>
        <w:pStyle w:val="Heading1"/>
      </w:pPr>
      <w:r>
        <w:t xml:space="preserve">5. Features for the collective (partners &amp; stakeholders)</w:t>
      </w:r>
    </w:p>
    <w:p>
      <w:pPr>
        <w:pStyle w:val="Heading2"/>
      </w:pPr>
      <w:r>
        <w:t xml:space="preserve">5.1 SRHR Disinformation Radar — the flagship</w:t>
      </w:r>
    </w:p>
    <w:p>
      <w:pPr>
        <w:spacing w:after="140"/>
      </w:pPr>
      <w:r>
        <w:t xml:space="preserve">Port the FemSaidia intelligence engine (RSS scanner + classifier + index + health-check pipeline, already built and running) to SRHR. Track the four typologies from your research — contraceptive safety myths, fertility/anti-abortion claims, anti-CSE rhetoric, faith-healing claims — across news and social feeds, score them, and publish a live SRHR Narrative Index. The #ScienceBows wave reached 16.8M people before the sector reacted; the radar exists so that never happens unanswered again. This single feature separates the collective from every legacy CSO in the room.</w:t>
      </w:r>
    </w:p>
    <w:p>
      <w:pPr>
        <w:pStyle w:val="Heading2"/>
      </w:pPr>
      <w:r>
        <w:t xml:space="preserve">5.2 Jibu — rapid response network</w:t>
      </w:r>
    </w:p>
    <w:p>
      <w:pPr>
        <w:spacing w:after="140"/>
      </w:pPr>
      <w:r>
        <w:t xml:space="preserve">When the radar detects a surge, members get a push alert with a ready-to-adapt counter-messaging pack (the campaign_toolkit table already exists). Modelled on FemSaidia’s Itika dispatch pattern. Response time becomes a metric the collective can report to funders: "myth detected → collective responding within N hours".</w:t>
      </w:r>
    </w:p>
    <w:p>
      <w:pPr>
        <w:pStyle w:val="Heading2"/>
      </w:pPr>
      <w:r>
        <w:t xml:space="preserve">5.3 County Accountability Scorecard</w:t>
      </w:r>
    </w:p>
    <w:p>
      <w:pPr>
        <w:spacing w:after="140"/>
      </w:pPr>
      <w:r>
        <w:t xml:space="preserve">Grow tracker_indicators into a public, county-by-county SRHR scorecard (teen pregnancy, unmet FP need, service availability, provider-stigma reports). Public accountability is the polite-but-lethal way to challenge gatekeepers: the data speaks, the collective publishes it.</w:t>
      </w:r>
    </w:p>
    <w:p>
      <w:pPr>
        <w:pStyle w:val="Heading2"/>
      </w:pPr>
      <w:r>
        <w:t xml:space="preserve">5.4 Coalition rooms</w:t>
      </w:r>
    </w:p>
    <w:p>
      <w:pPr>
        <w:spacing w:after="140"/>
      </w:pPr>
      <w:r>
        <w:t xml:space="preserve">Private working groups inside the forum (per campaign, per county, per donor consortium) with shared files and decisions log. This is what makes the hub the place where the collective actually coordinates, not just talks.</w:t>
      </w:r>
    </w:p>
    <w:p>
      <w:pPr>
        <w:pStyle w:val="Heading2"/>
      </w:pPr>
      <w:r>
        <w:t xml:space="preserve">5.5 Intel Briefs for funders</w:t>
      </w:r>
    </w:p>
    <w:p>
      <w:pPr>
        <w:spacing w:after="140"/>
      </w:pPr>
      <w:r>
        <w:t xml:space="preserve">Auto-generated periodic PDF briefs from live hub data (port FemSaidia’s generator): radar trends, scorecard movement, response cases, member growth. Funders get evidence of a functioning movement, not a promise of one.</w:t>
      </w:r>
    </w:p>
    <w:p>
      <w:pPr>
        <w:pStyle w:val="Heading1"/>
      </w:pPr>
      <w:r>
        <w:t xml:space="preserve">6. Features for young people (credibility by design)</w:t>
      </w:r>
    </w:p>
    <w:p>
      <w:pPr>
        <w:pStyle w:val="Heading2"/>
      </w:pPr>
      <w:r>
        <w:t xml:space="preserve">6.1 Uliza — ask anonymously</w:t>
      </w:r>
    </w:p>
    <w:p>
      <w:pPr>
        <w:spacing w:after="140"/>
      </w:pPr>
      <w:r>
        <w:t xml:space="preserve">Anonymous Q&amp;A answered by verified healthcare professionals — doctors are Kenya’s most trusted SRHR messengers at 71%, and your research says their problem is digital presence, not credibility. Verified-professional badges, no real names required for asking, answers published as a searchable library so each answer serves thousands. WhatsApp/USSD entry later for the digitally quiet counties.</w:t>
      </w:r>
    </w:p>
    <w:p>
      <w:pPr>
        <w:pStyle w:val="Heading2"/>
      </w:pPr>
      <w:r>
        <w:t xml:space="preserve">6.2 Ukweli myth cards</w:t>
      </w:r>
    </w:p>
    <w:p>
      <w:pPr>
        <w:spacing w:after="140"/>
      </w:pPr>
      <w:r>
        <w:t xml:space="preserve">Swipeable, single-claim myth-buster cards built from the four typologies — claim, why it feels true (your research insists emotional resonance beats fact-checking), what is actually true, what to do next. One-tap share as WhatsApp-ready images and TikTok-format vertical clips, in all three languages. The cards are the toolkit’s digital edge.</w:t>
      </w:r>
    </w:p>
    <w:p>
      <w:pPr>
        <w:pStyle w:val="Heading2"/>
      </w:pPr>
      <w:r>
        <w:t xml:space="preserve">6.3 Bila Aibu — judgment-free services map</w:t>
      </w:r>
    </w:p>
    <w:p>
      <w:pPr>
        <w:spacing w:after="140"/>
      </w:pPr>
      <w:r>
        <w:t xml:space="preserve">A youth-rated facility finder where the ratings are privacy, provider attitude, and confidentiality — exactly the barriers ranked highest in the poll (76% fear of judgment, 72% stigma, 42% of women citing lack of privacy). Nobody else publishes this. It makes the hub immediately useful to a scared 19-year-old, which is the whole credibility game.</w:t>
      </w:r>
    </w:p>
    <w:p>
      <w:pPr>
        <w:pStyle w:val="Heading2"/>
      </w:pPr>
      <w:r>
        <w:t xml:space="preserve">6.4 Learn: videos &amp; podcast</w:t>
      </w:r>
    </w:p>
    <w:p>
      <w:pPr>
        <w:spacing w:after="140"/>
      </w:pPr>
      <w:r>
        <w:t xml:space="preserve">The five Phase 2 videos and podcast live natively in the hub with episode discussion threads in the forum — making the hub the permanent home of the Phase 2 media rather than a link farm. Mother &amp; Aunty and Men in the Room content get dedicated, shareable collections (the two transmission channels your research says matter most).</w:t>
      </w:r>
    </w:p>
    <w:p>
      <w:pPr>
        <w:pStyle w:val="Heading2"/>
      </w:pPr>
      <w:r>
        <w:t xml:space="preserve">6.5 Safety &amp; dignity defaults</w:t>
      </w:r>
    </w:p>
    <w:p>
      <w:pPr>
        <w:spacing w:after="140"/>
      </w:pPr>
      <w:r>
        <w:t xml:space="preserve">Quick-exit button on every youth page, no real-name requirement, no public activity trail for youth accounts, and aggressive privacy in analytics. The 52%-secret-contraception finding is a design constraint: assume the user’s phone may be inspected.</w:t>
      </w:r>
    </w:p>
    <w:p>
      <w:pPr>
        <w:pStyle w:val="Heading1"/>
      </w:pPr>
      <w:r>
        <w:t xml:space="preserve">7. UI direction</w:t>
      </w:r>
    </w:p>
    <w:p>
      <w:pPr>
        <w:spacing w:after="140"/>
      </w:pPr>
      <w:r>
        <w:t xml:space="preserve">Keep the dark + gold identity (it already reads premium and unlike NGO-white) but rebuild on a consistent component system: Lora/Cormorant serif display + Nunito Sans body to rhyme with the FemSaidia family, larger touch targets, bottom-sheet modals on mobile, and the 2-per-row card grid with media at half-height (the pattern just shipped on FemSaidia). Add light-on-dark accessibility checks — gold on dark currently fails contrast in small sizes.</w:t>
      </w:r>
    </w:p>
    <w:p>
      <w:pPr>
        <w:pStyle w:val="Heading1"/>
      </w:pPr>
      <w:r>
        <w:t xml:space="preserve">8.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860"/>
      </w:tblGrid>
      <w:tr>
        <w:tc>
          <w:tcPr>
            <w:tcW w:type="dxa" w:w="1300"/>
            <w:tcBorders>
              <w:top w:val="single" w:color="CCCCCC" w:sz="1"/>
              <w:left w:val="single" w:color="CCCCCC" w:sz="1"/>
              <w:bottom w:val="single" w:color="CCCCCC" w:sz="1"/>
              <w:right w:val="single" w:color="CCCCCC" w:sz="1"/>
            </w:tcBorders>
            <w:shd w:fill="F0E8D8" w:val="clear"/>
            <w:tcMar>
              <w:top w:type="dxa" w:w="80"/>
              <w:left w:type="dxa" w:w="120"/>
              <w:bottom w:type="dxa" w:w="80"/>
              <w:right w:type="dxa" w:w="120"/>
            </w:tcMar>
          </w:tcPr>
          <w:p>
            <w:r>
              <w:rPr>
                <w:b/>
                <w:bCs/>
              </w:rPr>
              <w:t xml:space="preserve">Phase</w:t>
            </w:r>
          </w:p>
        </w:tc>
        <w:tc>
          <w:tcPr>
            <w:tcW w:type="dxa" w:w="4200"/>
            <w:tcBorders>
              <w:top w:val="single" w:color="CCCCCC" w:sz="1"/>
              <w:left w:val="single" w:color="CCCCCC" w:sz="1"/>
              <w:bottom w:val="single" w:color="CCCCCC" w:sz="1"/>
              <w:right w:val="single" w:color="CCCCCC" w:sz="1"/>
            </w:tcBorders>
            <w:shd w:fill="F0E8D8" w:val="clear"/>
            <w:tcMar>
              <w:top w:type="dxa" w:w="80"/>
              <w:left w:type="dxa" w:w="120"/>
              <w:bottom w:type="dxa" w:w="80"/>
              <w:right w:type="dxa" w:w="120"/>
            </w:tcMar>
          </w:tcPr>
          <w:p>
            <w:r>
              <w:rPr>
                <w:b/>
                <w:bCs/>
              </w:rPr>
              <w:t xml:space="preserve">Scope</w:t>
            </w:r>
          </w:p>
        </w:tc>
        <w:tc>
          <w:tcPr>
            <w:tcW w:type="dxa" w:w="3860"/>
            <w:tcBorders>
              <w:top w:val="single" w:color="CCCCCC" w:sz="1"/>
              <w:left w:val="single" w:color="CCCCCC" w:sz="1"/>
              <w:bottom w:val="single" w:color="CCCCCC" w:sz="1"/>
              <w:right w:val="single" w:color="CCCCCC" w:sz="1"/>
            </w:tcBorders>
            <w:shd w:fill="F0E8D8" w:val="clear"/>
            <w:tcMar>
              <w:top w:type="dxa" w:w="80"/>
              <w:left w:type="dxa" w:w="120"/>
              <w:bottom w:type="dxa" w:w="80"/>
              <w:right w:type="dxa" w:w="120"/>
            </w:tcMar>
          </w:tcPr>
          <w:p>
            <w:r>
              <w:rPr>
                <w:b/>
                <w:bCs/>
              </w:rPr>
              <w:t xml:space="preserve">Outcome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 now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RLS lockdown, server-side admin, delete dead scaffold, ship today’s fixes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Defensible current hub</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2-3 wks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Vite+React rebuild, mobile nav, PWA, language toggle, forum/exchange/events/directory ported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Installable hub 2.0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4-6 wks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Radar + Jibu alerts + myth cards + Uliza (manual answer flow first)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differentiators live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 ongoing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Scorecard, Bila Aibu map, intel briefs, coalition rooms, WhatsApp/USSD entry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Movement infrastructure</w:t>
            </w:r>
          </w:p>
        </w:tc>
      </w:tr>
    </w:tbl>
    <w:p>
      <w:pPr>
        <w:spacing w:after="60"/>
      </w:pPr>
      <w:r>
        <w:t xml:space="preserve"/>
      </w:r>
    </w:p>
    <w:p>
      <w:pPr>
        <w:spacing w:after="140"/>
      </w:pPr>
      <w:r>
        <w:t xml:space="preserve">Phase C is deliberately ahead of "more polish": the radar and Uliza are what make partners sign and young people return. Polish follows proof.</w:t>
      </w:r>
    </w:p>
    <w:p>
      <w:pPr>
        <w:pStyle w:val="Heading1"/>
      </w:pPr>
      <w:r>
        <w:t xml:space="preserve">9. What I need from you</w:t>
      </w:r>
    </w:p>
    <w:p>
      <w:pPr>
        <w:pStyle w:val="ListParagraph"/>
        <w:numPr>
          <w:ilvl w:val="0"/>
          <w:numId w:val="2"/>
        </w:numPr>
        <w:spacing w:after="90"/>
      </w:pPr>
      <w:r>
        <w:t xml:space="preserve">Run the RLS audit (supabase/rls-audit.sql) and send me the section-1 output — this decides how much of Phase A is left.</w:t>
      </w:r>
    </w:p>
    <w:p>
      <w:pPr>
        <w:pStyle w:val="ListParagraph"/>
        <w:numPr>
          <w:ilvl w:val="0"/>
          <w:numId w:val="2"/>
        </w:numPr>
        <w:spacing w:after="90"/>
      </w:pPr>
      <w:r>
        <w:t xml:space="preserve">A decision on Phase B stack (recommended: Vite + React, same as FemSaidia).</w:t>
      </w:r>
    </w:p>
    <w:p>
      <w:pPr>
        <w:pStyle w:val="ListParagraph"/>
        <w:numPr>
          <w:ilvl w:val="0"/>
          <w:numId w:val="2"/>
        </w:numPr>
        <w:spacing w:after="90"/>
      </w:pPr>
      <w:r>
        <w:t xml:space="preserve">Names sign-off: Uliza (ask), Ukweli (truth), Jibu (respond), Bila Aibu (without shame) — placeholder Swahili, yours to veto.</w:t>
      </w:r>
    </w:p>
    <w:p>
      <w:pPr>
        <w:pStyle w:val="ListParagraph"/>
        <w:numPr>
          <w:ilvl w:val="0"/>
          <w:numId w:val="2"/>
        </w:numPr>
        <w:spacing w:after="90"/>
      </w:pPr>
      <w:r>
        <w:t xml:space="preserve">The Phase 2 media files (videos/podcast) when ready, to seed the Learn section.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ImaarishaSRHR Hub 2.0 Blueprint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2035"/>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6B5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2026-06-11T17:11:33.839Z</dcterms:created>
  <dcterms:modified xsi:type="dcterms:W3CDTF">2026-06-11T17:11:33.856Z</dcterms:modified>
</cp:coreProperties>
</file>

<file path=docProps/custom.xml><?xml version="1.0" encoding="utf-8"?>
<Properties xmlns="http://schemas.openxmlformats.org/officeDocument/2006/custom-properties" xmlns:vt="http://schemas.openxmlformats.org/officeDocument/2006/docPropsVTypes"/>
</file>