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B6B4A"/>
          <w:sz w:val="44"/>
          <w:szCs w:val="44"/>
        </w:rPr>
        <w:t xml:space="preserve">MAZINGIRAKENYA</w:t>
      </w:r>
    </w:p>
    <w:p>
      <w:pPr>
        <w:spacing w:after="60"/>
      </w:pPr>
      <w:r>
        <w:rPr>
          <w:color w:val="1C1C1C"/>
          <w:sz w:val="26"/>
          <w:szCs w:val="26"/>
        </w:rPr>
        <w:t xml:space="preserve">Launch Campaign &amp; Partnership Prospectus</w:t>
      </w:r>
    </w:p>
    <w:p>
      <w:pPr>
        <w:spacing w:after="40"/>
      </w:pPr>
      <w:r>
        <w:rPr>
          <w:i/>
          <w:iCs/>
          <w:color w:val="5A6B62"/>
          <w:sz w:val="21"/>
          <w:szCs w:val="21"/>
        </w:rPr>
        <w:t xml:space="preserve">A live coordination platform for climate &amp; environmental justice in Kenya</w:t>
      </w:r>
    </w:p>
    <w:p>
      <w:pPr>
        <w:spacing w:after="120"/>
      </w:pPr>
      <w:r>
        <w:rPr>
          <w:b/>
          <w:bCs/>
          <w:color w:val="A34612"/>
          <w:sz w:val="19"/>
          <w:szCs w:val="19"/>
        </w:rPr>
        <w:t xml:space="preserve">Convened by deCOALonize</w:t>
      </w:r>
    </w:p>
    <w:p>
      <w:pPr>
        <w:pBdr>
          <w:bottom w:val="single" w:color="D8CFC0" w:sz="6"/>
        </w:pBdr>
        <w:spacing w:after="120" w:before="60"/>
      </w:pPr>
    </w:p>
    <w:p>
      <w:pPr>
        <w:pStyle w:val="Heading1"/>
        <w:spacing w:after="120" w:before="280"/>
      </w:pPr>
      <w:r>
        <w:rPr>
          <w:b/>
          <w:bCs/>
          <w:color w:val="1B6B4A"/>
          <w:sz w:val="30"/>
          <w:szCs w:val="30"/>
        </w:rPr>
        <w:t xml:space="preserve">Executive summary</w:t>
      </w:r>
    </w:p>
    <w:p>
      <w:pPr>
        <w:spacing w:after="140" w:line="288"/>
        <w:jc w:val="left"/>
      </w:pPr>
      <w:r>
        <w:rPr>
          <w:color w:val="1C1C1C"/>
          <w:sz w:val="21"/>
          <w:szCs w:val="21"/>
        </w:rPr>
        <w:t xml:space="preserve">MazingiraKenya is the shared, living dashboard of Kenya's climate and environmental-justice movement. It turns scattered field knowledge, legal records, media coverage and community voice into one continuously updated picture — of where extractive pressure is building, who is responding, and where the gaps are. Built and convened by the deCOALonize coalition, it exists in three connected surfaces: a members' coordination hub, a public site in three languages, and an admin console.</w:t>
      </w:r>
    </w:p>
    <w:p>
      <w:pPr>
        <w:spacing w:after="140" w:line="288"/>
        <w:jc w:val="left"/>
      </w:pPr>
      <w:r>
        <w:rPr>
          <w:color w:val="1C1C1C"/>
          <w:sz w:val="21"/>
          <w:szCs w:val="21"/>
        </w:rPr>
        <w:t xml:space="preserve">We are opening the platform to funders, partner organisations and policymakers. This prospectus explains the moment it speaks to, what the platform does, and how each of those audiences can plug in. The ask is simple: help the coalition see the whole board, and act on it together.</w:t>
      </w:r>
    </w:p>
    <w:p>
      <w:pPr>
        <w:pStyle w:val="Heading1"/>
        <w:spacing w:after="120" w:before="280"/>
      </w:pPr>
      <w:r>
        <w:rPr>
          <w:b/>
          <w:bCs/>
          <w:color w:val="1B6B4A"/>
          <w:sz w:val="30"/>
          <w:szCs w:val="30"/>
        </w:rPr>
        <w:t xml:space="preserve">The moment: Kenya's environmental-justice frontier</w:t>
      </w:r>
    </w:p>
    <w:p>
      <w:pPr>
        <w:spacing w:after="140" w:line="288"/>
        <w:jc w:val="left"/>
      </w:pPr>
      <w:r>
        <w:rPr>
          <w:color w:val="1C1C1C"/>
          <w:sz w:val="21"/>
          <w:szCs w:val="21"/>
        </w:rPr>
        <w:t xml:space="preserve">Kenya sits at a decisive point. The extractive and energy pressures facing communities are no longer hypothetical — they are live, simultaneous and geographically spread:</w:t>
      </w:r>
    </w:p>
    <w:p>
      <w:pPr>
        <w:pStyle w:val="ListParagraph"/>
        <w:numPr>
          <w:ilvl w:val="0"/>
          <w:numId w:val="1"/>
        </w:numPr>
        <w:spacing w:after="70" w:line="280"/>
      </w:pPr>
      <w:r>
        <w:rPr>
          <w:b/>
          <w:bCs/>
          <w:i w:val="false"/>
          <w:iCs w:val="false"/>
          <w:color w:val="1C1C1C"/>
          <w:sz w:val="21"/>
          <w:szCs w:val="21"/>
        </w:rPr>
        <w:t xml:space="preserve">Coal. </w:t>
      </w:r>
      <w:r>
        <w:rPr>
          <w:b w:val="false"/>
          <w:bCs w:val="false"/>
          <w:i w:val="false"/>
          <w:iCs w:val="false"/>
          <w:color w:val="1C1C1C"/>
          <w:sz w:val="21"/>
          <w:szCs w:val="21"/>
        </w:rPr>
        <w:t xml:space="preserve">The proposed Lamu coal plant — once Kenya's first — was halted when the National Environment Tribunal revoked its licence in 2019 for failed public participation and inadequate climate assessment. In October 2025 the Environment and Land Court upheld that revocation. The win is real, but the site remains designated for power generation and the file is not closed.</w:t>
      </w:r>
    </w:p>
    <w:p>
      <w:pPr>
        <w:pStyle w:val="ListParagraph"/>
        <w:numPr>
          <w:ilvl w:val="0"/>
          <w:numId w:val="1"/>
        </w:numPr>
        <w:spacing w:after="70" w:line="280"/>
      </w:pPr>
      <w:r>
        <w:rPr>
          <w:b/>
          <w:bCs/>
          <w:i w:val="false"/>
          <w:iCs w:val="false"/>
          <w:color w:val="1C1C1C"/>
          <w:sz w:val="21"/>
          <w:szCs w:val="21"/>
        </w:rPr>
        <w:t xml:space="preserve">Oil. </w:t>
      </w:r>
      <w:r>
        <w:rPr>
          <w:b w:val="false"/>
          <w:bCs w:val="false"/>
          <w:i w:val="false"/>
          <w:iCs w:val="false"/>
          <w:color w:val="1C1C1C"/>
          <w:sz w:val="21"/>
          <w:szCs w:val="21"/>
        </w:rPr>
        <w:t xml:space="preserve">The East African Crude Oil Pipeline (EACOP) and a proposed Dangote refinery at Lamu keep fossil expansion on the coast on the agenda, even as bank after bank rules the pipeline out.</w:t>
      </w:r>
    </w:p>
    <w:p>
      <w:pPr>
        <w:pStyle w:val="ListParagraph"/>
        <w:numPr>
          <w:ilvl w:val="0"/>
          <w:numId w:val="1"/>
        </w:numPr>
        <w:spacing w:after="70" w:line="280"/>
      </w:pPr>
      <w:r>
        <w:rPr>
          <w:b/>
          <w:bCs/>
          <w:i w:val="false"/>
          <w:iCs w:val="false"/>
          <w:color w:val="1C1C1C"/>
          <w:sz w:val="21"/>
          <w:szCs w:val="21"/>
        </w:rPr>
        <w:t xml:space="preserve">Nuclear. </w:t>
      </w:r>
      <w:r>
        <w:rPr>
          <w:b w:val="false"/>
          <w:bCs w:val="false"/>
          <w:i w:val="false"/>
          <w:iCs w:val="false"/>
          <w:color w:val="1C1C1C"/>
          <w:sz w:val="21"/>
          <w:szCs w:val="21"/>
        </w:rPr>
        <w:t xml:space="preserve">A nuclear plant proposed for Siaya on the shore of Lake Victoria has met sustained community objection — and protesters have reportedly faced terrorism-act investigation.</w:t>
      </w:r>
    </w:p>
    <w:p>
      <w:pPr>
        <w:pStyle w:val="ListParagraph"/>
        <w:numPr>
          <w:ilvl w:val="0"/>
          <w:numId w:val="1"/>
        </w:numPr>
        <w:spacing w:after="70" w:line="280"/>
      </w:pPr>
      <w:r>
        <w:rPr>
          <w:b/>
          <w:bCs/>
          <w:i w:val="false"/>
          <w:iCs w:val="false"/>
          <w:color w:val="1C1C1C"/>
          <w:sz w:val="21"/>
          <w:szCs w:val="21"/>
        </w:rPr>
        <w:t xml:space="preserve">Gold. </w:t>
      </w:r>
      <w:r>
        <w:rPr>
          <w:b w:val="false"/>
          <w:bCs w:val="false"/>
          <w:i w:val="false"/>
          <w:iCs w:val="false"/>
          <w:color w:val="1C1C1C"/>
          <w:sz w:val="21"/>
          <w:szCs w:val="21"/>
        </w:rPr>
        <w:t xml:space="preserve">Unlicensed gold dredging on River Yala, exposed in national media, has drawn a Senate ultimatum and put artisanal-mining governance in the spotlight.</w:t>
      </w:r>
    </w:p>
    <w:p>
      <w:pPr>
        <w:pStyle w:val="ListParagraph"/>
        <w:numPr>
          <w:ilvl w:val="0"/>
          <w:numId w:val="1"/>
        </w:numPr>
        <w:spacing w:after="70" w:line="280"/>
      </w:pPr>
      <w:r>
        <w:rPr>
          <w:b/>
          <w:bCs/>
          <w:i w:val="false"/>
          <w:iCs w:val="false"/>
          <w:color w:val="1C1C1C"/>
          <w:sz w:val="21"/>
          <w:szCs w:val="21"/>
        </w:rPr>
        <w:t xml:space="preserve">Carbon markets. </w:t>
      </w:r>
      <w:r>
        <w:rPr>
          <w:b w:val="false"/>
          <w:bCs w:val="false"/>
          <w:i w:val="false"/>
          <w:iCs w:val="false"/>
          <w:color w:val="1C1C1C"/>
          <w:sz w:val="21"/>
          <w:szCs w:val="21"/>
        </w:rPr>
        <w:t xml:space="preserve">Kenya's new carbon-market rulebook, capping overseas credit sales, reshapes who benefits from climate finance on the ground.</w:t>
      </w:r>
    </w:p>
    <w:p>
      <w:pPr>
        <w:spacing w:after="140" w:line="288"/>
        <w:jc w:val="left"/>
      </w:pPr>
      <w:r>
        <w:rPr>
          <w:color w:val="1C1C1C"/>
          <w:sz w:val="21"/>
          <w:szCs w:val="21"/>
        </w:rPr>
        <w:t xml:space="preserve">No single organisation sees all of this at once. That is the gap MazingiraKenya closes.</w:t>
      </w:r>
    </w:p>
    <w:p>
      <w:pPr>
        <w:pStyle w:val="Heading1"/>
        <w:spacing w:after="120" w:before="280"/>
      </w:pPr>
      <w:r>
        <w:rPr>
          <w:b/>
          <w:bCs/>
          <w:color w:val="1B6B4A"/>
          <w:sz w:val="30"/>
          <w:szCs w:val="30"/>
        </w:rPr>
        <w:t xml:space="preserve">What MazingiraKenya is</w:t>
      </w:r>
    </w:p>
    <w:p>
      <w:pPr>
        <w:spacing w:after="140" w:line="288"/>
        <w:jc w:val="left"/>
      </w:pPr>
      <w:r>
        <w:rPr>
          <w:color w:val="1C1C1C"/>
          <w:sz w:val="21"/>
          <w:szCs w:val="21"/>
        </w:rPr>
        <w:t xml:space="preserve">The platform runs as three connected surfaces, in English, Kiswahili and Sheng:</w:t>
      </w:r>
    </w:p>
    <w:p>
      <w:pPr>
        <w:pStyle w:val="ListParagraph"/>
        <w:numPr>
          <w:ilvl w:val="0"/>
          <w:numId w:val="1"/>
        </w:numPr>
        <w:spacing w:after="70" w:line="280"/>
      </w:pPr>
      <w:r>
        <w:rPr>
          <w:b/>
          <w:bCs/>
          <w:i w:val="false"/>
          <w:iCs w:val="false"/>
          <w:color w:val="1C1C1C"/>
          <w:sz w:val="21"/>
          <w:szCs w:val="21"/>
        </w:rPr>
        <w:t xml:space="preserve">The hub </w:t>
      </w:r>
      <w:r>
        <w:rPr>
          <w:b w:val="false"/>
          <w:bCs w:val="false"/>
          <w:i w:val="false"/>
          <w:iCs w:val="false"/>
          <w:color w:val="1C1C1C"/>
          <w:sz w:val="21"/>
          <w:szCs w:val="21"/>
        </w:rPr>
        <w:t xml:space="preserve">(members only) — the coalition's coordination dashboard: intelligence, directory, legal tracker, resource exchange, petitions and a video convening space.</w:t>
      </w:r>
    </w:p>
    <w:p>
      <w:pPr>
        <w:pStyle w:val="ListParagraph"/>
        <w:numPr>
          <w:ilvl w:val="0"/>
          <w:numId w:val="1"/>
        </w:numPr>
        <w:spacing w:after="70" w:line="280"/>
      </w:pPr>
      <w:r>
        <w:rPr>
          <w:b/>
          <w:bCs/>
          <w:i w:val="false"/>
          <w:iCs w:val="false"/>
          <w:color w:val="1C1C1C"/>
          <w:sz w:val="21"/>
          <w:szCs w:val="21"/>
        </w:rPr>
        <w:t xml:space="preserve">raia </w:t>
      </w:r>
      <w:r>
        <w:rPr>
          <w:b w:val="false"/>
          <w:bCs w:val="false"/>
          <w:i w:val="false"/>
          <w:iCs w:val="false"/>
          <w:color w:val="1C1C1C"/>
          <w:sz w:val="21"/>
          <w:szCs w:val="21"/>
        </w:rPr>
        <w:t xml:space="preserve">(public) — the people's platform: plain-language explainers, disinformation debunks, community voices and public petition signing.</w:t>
      </w:r>
    </w:p>
    <w:p>
      <w:pPr>
        <w:pStyle w:val="ListParagraph"/>
        <w:numPr>
          <w:ilvl w:val="0"/>
          <w:numId w:val="1"/>
        </w:numPr>
        <w:spacing w:after="70" w:line="280"/>
      </w:pPr>
      <w:r>
        <w:rPr>
          <w:b/>
          <w:bCs/>
          <w:i w:val="false"/>
          <w:iCs w:val="false"/>
          <w:color w:val="1C1C1C"/>
          <w:sz w:val="21"/>
          <w:szCs w:val="21"/>
        </w:rPr>
        <w:t xml:space="preserve">admin </w:t>
      </w:r>
      <w:r>
        <w:rPr>
          <w:b w:val="false"/>
          <w:bCs w:val="false"/>
          <w:i w:val="false"/>
          <w:iCs w:val="false"/>
          <w:color w:val="1C1C1C"/>
          <w:sz w:val="21"/>
          <w:szCs w:val="21"/>
        </w:rPr>
        <w:t xml:space="preserve">— the secretariat's console for keeping content current and moderated.</w:t>
      </w:r>
    </w:p>
    <w:p>
      <w:pPr>
        <w:spacing w:after="140" w:line="288"/>
        <w:jc w:val="left"/>
      </w:pPr>
      <w:r>
        <w:rPr>
          <w:color w:val="1C1C1C"/>
          <w:sz w:val="21"/>
          <w:szCs w:val="21"/>
        </w:rPr>
        <w:t xml:space="preserve">It is deliberately a live instrument, not a static report — the picture updates as the movement acts and as events on the ground change.</w:t>
      </w:r>
    </w:p>
    <w:p>
      <w:pPr>
        <w:pStyle w:val="Heading1"/>
        <w:spacing w:after="120" w:before="280"/>
      </w:pPr>
      <w:r>
        <w:rPr>
          <w:b/>
          <w:bCs/>
          <w:color w:val="1B6B4A"/>
          <w:sz w:val="30"/>
          <w:szCs w:val="30"/>
        </w:rPr>
        <w:t xml:space="preserve">What it puts in your hands</w:t>
      </w:r>
    </w:p>
    <w:p>
      <w:pPr>
        <w:pStyle w:val="Heading2"/>
        <w:spacing w:after="80" w:before="200"/>
      </w:pPr>
      <w:r>
        <w:rPr>
          <w:b/>
          <w:bCs/>
          <w:color w:val="0C7A4D"/>
          <w:sz w:val="24"/>
          <w:szCs w:val="24"/>
        </w:rPr>
        <w:t xml:space="preserve">A national map of pressure and response</w:t>
      </w:r>
    </w:p>
    <w:p>
      <w:pPr>
        <w:spacing w:after="140" w:line="288"/>
        <w:jc w:val="left"/>
      </w:pPr>
      <w:r>
        <w:rPr>
          <w:color w:val="1C1C1C"/>
          <w:sz w:val="21"/>
          <w:szCs w:val="21"/>
        </w:rPr>
        <w:t xml:space="preserve">Every county rendered by the extractive and environmental pressure it faces and by the civil-society response present there — with a gap ranking that shows precisely where coverage is thinnest and marginal effort counts most.</w:t>
      </w:r>
    </w:p>
    <w:p>
      <w:pPr>
        <w:pStyle w:val="Heading2"/>
        <w:spacing w:after="80" w:before="200"/>
      </w:pPr>
      <w:r>
        <w:rPr>
          <w:b/>
          <w:bCs/>
          <w:color w:val="0C7A4D"/>
          <w:sz w:val="24"/>
          <w:szCs w:val="24"/>
        </w:rPr>
        <w:t xml:space="preserve">A corporate accountability index</w:t>
      </w:r>
    </w:p>
    <w:p>
      <w:pPr>
        <w:spacing w:after="140" w:line="288"/>
        <w:jc w:val="left"/>
      </w:pPr>
      <w:r>
        <w:rPr>
          <w:color w:val="1C1C1C"/>
          <w:sz w:val="21"/>
          <w:szCs w:val="21"/>
        </w:rPr>
        <w:t xml:space="preserve">The banks, oil majors and state financiers shaping Kenya's energy future, each measured against their own public climate promises and scored — kept, partial, or lip-service — with sources to follow. It names both the institutions declining harmful finance and those pressing ahead.</w:t>
      </w:r>
    </w:p>
    <w:p>
      <w:pPr>
        <w:pStyle w:val="Heading2"/>
        <w:spacing w:after="80" w:before="200"/>
      </w:pPr>
      <w:r>
        <w:rPr>
          <w:b/>
          <w:bCs/>
          <w:color w:val="0C7A4D"/>
          <w:sz w:val="24"/>
          <w:szCs w:val="24"/>
        </w:rPr>
        <w:t xml:space="preserve">A tracked legal record</w:t>
      </w:r>
    </w:p>
    <w:p>
      <w:pPr>
        <w:spacing w:after="140" w:line="288"/>
        <w:jc w:val="left"/>
      </w:pPr>
      <w:r>
        <w:rPr>
          <w:color w:val="1C1C1C"/>
          <w:sz w:val="21"/>
          <w:szCs w:val="21"/>
        </w:rPr>
        <w:t xml:space="preserve">Live and landmark cases — Lamu, Mui Basin, Siaya, River Yala and more — each linked through to the Kenya Law reports so the primary judgment is one click away.</w:t>
      </w:r>
    </w:p>
    <w:p>
      <w:pPr>
        <w:pStyle w:val="Heading2"/>
        <w:spacing w:after="80" w:before="200"/>
      </w:pPr>
      <w:r>
        <w:rPr>
          <w:b/>
          <w:bCs/>
          <w:color w:val="0C7A4D"/>
          <w:sz w:val="24"/>
          <w:szCs w:val="24"/>
        </w:rPr>
        <w:t xml:space="preserve">A coalition directory, resource exchange and convening tools</w:t>
      </w:r>
    </w:p>
    <w:p>
      <w:pPr>
        <w:spacing w:after="140" w:line="288"/>
        <w:jc w:val="left"/>
      </w:pPr>
      <w:r>
        <w:rPr>
          <w:color w:val="1C1C1C"/>
          <w:sz w:val="21"/>
          <w:szCs w:val="21"/>
        </w:rPr>
        <w:t xml:space="preserve">A directory of more than sixty organisations across the country; a shared exchange of real reports, briefs and media; petition and memorandum tools with public signing on raia; and an embedded video space for scheduling and holding coalition calls.</w:t>
      </w:r>
    </w:p>
    <w:p>
      <w:pPr>
        <w:pStyle w:val="Heading2"/>
        <w:spacing w:after="80" w:before="200"/>
      </w:pPr>
      <w:r>
        <w:rPr>
          <w:b/>
          <w:bCs/>
          <w:color w:val="0C7A4D"/>
          <w:sz w:val="24"/>
          <w:szCs w:val="24"/>
        </w:rPr>
        <w:t xml:space="preserve">A disinformation early-warning feed and community voice</w:t>
      </w:r>
    </w:p>
    <w:p>
      <w:pPr>
        <w:spacing w:after="140" w:line="288"/>
        <w:jc w:val="left"/>
      </w:pPr>
      <w:r>
        <w:rPr>
          <w:color w:val="1C1C1C"/>
          <w:sz w:val="21"/>
          <w:szCs w:val="21"/>
        </w:rPr>
        <w:t xml:space="preserve">The fast-moving false narratives circulating on Kenyan climate and environment, paired with debunks anchored to public fact-checks — and a channel for members to document what is happening where they are.</w:t>
      </w:r>
    </w:p>
    <w:p>
      <w:pPr>
        <w:pStyle w:val="Heading1"/>
        <w:spacing w:after="120" w:before="280"/>
      </w:pPr>
      <w:r>
        <w:rPr>
          <w:b/>
          <w:bCs/>
          <w:color w:val="1B6B4A"/>
          <w:sz w:val="30"/>
          <w:szCs w:val="30"/>
        </w:rPr>
        <w:t xml:space="preserve">The campaign</w:t>
      </w:r>
    </w:p>
    <w:p>
      <w:pPr>
        <w:spacing w:after="140" w:line="288"/>
        <w:jc w:val="left"/>
      </w:pPr>
      <w:r>
        <w:rPr>
          <w:color w:val="1C1C1C"/>
          <w:sz w:val="21"/>
          <w:szCs w:val="21"/>
        </w:rPr>
        <w:t xml:space="preserve">The launch campaign onboards the three audiences and turns the platform into coordinated public action. It runs in four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550"/>
        <w:gridCol w:w="3180"/>
        <w:gridCol w:w="3180"/>
      </w:tblGrid>
      <w:tr>
        <w:trPr>
          <w:tblHeader/>
        </w:trPr>
        <w:tc>
          <w:tcPr>
            <w:tcW w:type="dxa" w:w="1450"/>
            <w:shd w:fill="1B6B4A" w:color="auto" w:val="clear"/>
            <w:tcMar>
              <w:top w:type="dxa" w:w="80"/>
              <w:left w:type="dxa" w:w="110"/>
              <w:bottom w:type="dxa" w:w="80"/>
              <w:right w:type="dxa" w:w="110"/>
            </w:tcMar>
          </w:tcPr>
          <w:p>
            <w:pPr>
              <w:spacing w:line="264"/>
            </w:pPr>
            <w:r>
              <w:rPr>
                <w:b/>
                <w:bCs/>
                <w:color w:val="FFFFFF"/>
                <w:sz w:val="19"/>
                <w:szCs w:val="19"/>
              </w:rPr>
              <w:t xml:space="preserve">Phase</w:t>
            </w:r>
          </w:p>
        </w:tc>
        <w:tc>
          <w:tcPr>
            <w:tcW w:type="dxa" w:w="1550"/>
            <w:shd w:fill="1B6B4A" w:color="auto" w:val="clear"/>
            <w:tcMar>
              <w:top w:type="dxa" w:w="80"/>
              <w:left w:type="dxa" w:w="110"/>
              <w:bottom w:type="dxa" w:w="80"/>
              <w:right w:type="dxa" w:w="110"/>
            </w:tcMar>
          </w:tcPr>
          <w:p>
            <w:pPr>
              <w:spacing w:line="264"/>
            </w:pPr>
            <w:r>
              <w:rPr>
                <w:b/>
                <w:bCs/>
                <w:color w:val="FFFFFF"/>
                <w:sz w:val="19"/>
                <w:szCs w:val="19"/>
              </w:rPr>
              <w:t xml:space="preserve">Timing</w:t>
            </w:r>
          </w:p>
        </w:tc>
        <w:tc>
          <w:tcPr>
            <w:tcW w:type="dxa" w:w="3180"/>
            <w:shd w:fill="1B6B4A" w:color="auto" w:val="clear"/>
            <w:tcMar>
              <w:top w:type="dxa" w:w="80"/>
              <w:left w:type="dxa" w:w="110"/>
              <w:bottom w:type="dxa" w:w="80"/>
              <w:right w:type="dxa" w:w="110"/>
            </w:tcMar>
          </w:tcPr>
          <w:p>
            <w:pPr>
              <w:spacing w:line="264"/>
            </w:pPr>
            <w:r>
              <w:rPr>
                <w:b/>
                <w:bCs/>
                <w:color w:val="FFFFFF"/>
                <w:sz w:val="19"/>
                <w:szCs w:val="19"/>
              </w:rPr>
              <w:t xml:space="preserve">Focus</w:t>
            </w:r>
          </w:p>
        </w:tc>
        <w:tc>
          <w:tcPr>
            <w:tcW w:type="dxa" w:w="3180"/>
            <w:shd w:fill="1B6B4A" w:color="auto" w:val="clear"/>
            <w:tcMar>
              <w:top w:type="dxa" w:w="80"/>
              <w:left w:type="dxa" w:w="110"/>
              <w:bottom w:type="dxa" w:w="80"/>
              <w:right w:type="dxa" w:w="110"/>
            </w:tcMar>
          </w:tcPr>
          <w:p>
            <w:pPr>
              <w:spacing w:line="264"/>
            </w:pPr>
            <w:r>
              <w:rPr>
                <w:b/>
                <w:bCs/>
                <w:color w:val="FFFFFF"/>
                <w:sz w:val="19"/>
                <w:szCs w:val="19"/>
              </w:rPr>
              <w:t xml:space="preserve">Public-facing action</w:t>
            </w:r>
          </w:p>
        </w:tc>
      </w:tr>
      <w:tr>
        <w:tc>
          <w:tcPr>
            <w:tcW w:type="dxa" w:w="1450"/>
            <w:shd w:fill="F2EFE7" w:color="auto" w:val="clear"/>
            <w:tcMar>
              <w:top w:type="dxa" w:w="80"/>
              <w:left w:type="dxa" w:w="110"/>
              <w:bottom w:type="dxa" w:w="80"/>
              <w:right w:type="dxa" w:w="110"/>
            </w:tcMar>
          </w:tcPr>
          <w:p>
            <w:pPr>
              <w:spacing w:line="264"/>
            </w:pPr>
            <w:r>
              <w:rPr>
                <w:b w:val="false"/>
                <w:bCs w:val="false"/>
                <w:color w:val="1C1C1C"/>
                <w:sz w:val="19"/>
                <w:szCs w:val="19"/>
              </w:rPr>
              <w:t xml:space="preserve">1 · Launch</w:t>
            </w:r>
          </w:p>
        </w:tc>
        <w:tc>
          <w:tcPr>
            <w:tcW w:type="dxa" w:w="1550"/>
            <w:shd w:fill="F2EFE7" w:color="auto" w:val="clear"/>
            <w:tcMar>
              <w:top w:type="dxa" w:w="80"/>
              <w:left w:type="dxa" w:w="110"/>
              <w:bottom w:type="dxa" w:w="80"/>
              <w:right w:type="dxa" w:w="110"/>
            </w:tcMar>
          </w:tcPr>
          <w:p>
            <w:pPr>
              <w:spacing w:line="264"/>
            </w:pPr>
            <w:r>
              <w:rPr>
                <w:b w:val="false"/>
                <w:bCs w:val="false"/>
                <w:color w:val="1C1C1C"/>
                <w:sz w:val="19"/>
                <w:szCs w:val="19"/>
              </w:rPr>
              <w:t xml:space="preserve">Month 1</w:t>
            </w:r>
          </w:p>
        </w:tc>
        <w:tc>
          <w:tcPr>
            <w:tcW w:type="dxa" w:w="3180"/>
            <w:shd w:fill="F2EFE7" w:color="auto" w:val="clear"/>
            <w:tcMar>
              <w:top w:type="dxa" w:w="80"/>
              <w:left w:type="dxa" w:w="110"/>
              <w:bottom w:type="dxa" w:w="80"/>
              <w:right w:type="dxa" w:w="110"/>
            </w:tcMar>
          </w:tcPr>
          <w:p>
            <w:pPr>
              <w:spacing w:line="264"/>
            </w:pPr>
            <w:r>
              <w:rPr>
                <w:b w:val="false"/>
                <w:bCs w:val="false"/>
                <w:color w:val="1C1C1C"/>
                <w:sz w:val="19"/>
                <w:szCs w:val="19"/>
              </w:rPr>
              <w:t xml:space="preserve">Go live across hub, raia and admin; brief the coalition; open the members' hub.</w:t>
            </w:r>
          </w:p>
        </w:tc>
        <w:tc>
          <w:tcPr>
            <w:tcW w:type="dxa" w:w="3180"/>
            <w:shd w:fill="F2EFE7" w:color="auto" w:val="clear"/>
            <w:tcMar>
              <w:top w:type="dxa" w:w="80"/>
              <w:left w:type="dxa" w:w="110"/>
              <w:bottom w:type="dxa" w:w="80"/>
              <w:right w:type="dxa" w:w="110"/>
            </w:tcMar>
          </w:tcPr>
          <w:p>
            <w:pPr>
              <w:spacing w:line="264"/>
            </w:pPr>
            <w:r>
              <w:rPr>
                <w:b w:val="false"/>
                <w:bCs w:val="false"/>
                <w:color w:val="1C1C1C"/>
                <w:sz w:val="19"/>
                <w:szCs w:val="19"/>
              </w:rPr>
              <w:t xml:space="preserve">Public launch on raia in English, Kiswahili and Sheng; social rollout on X, TikTok, Facebook and Instagram.</w:t>
            </w:r>
          </w:p>
        </w:tc>
      </w:tr>
      <w:tr>
        <w:tc>
          <w:tcPr>
            <w:tcW w:type="dxa" w:w="1450"/>
            <w:tcMar>
              <w:top w:type="dxa" w:w="80"/>
              <w:left w:type="dxa" w:w="110"/>
              <w:bottom w:type="dxa" w:w="80"/>
              <w:right w:type="dxa" w:w="110"/>
            </w:tcMar>
          </w:tcPr>
          <w:p>
            <w:pPr>
              <w:spacing w:line="264"/>
            </w:pPr>
            <w:r>
              <w:rPr>
                <w:b w:val="false"/>
                <w:bCs w:val="false"/>
                <w:color w:val="1C1C1C"/>
                <w:sz w:val="19"/>
                <w:szCs w:val="19"/>
              </w:rPr>
              <w:t xml:space="preserve">2 · Onboard</w:t>
            </w:r>
          </w:p>
        </w:tc>
        <w:tc>
          <w:tcPr>
            <w:tcW w:type="dxa" w:w="1550"/>
            <w:tcMar>
              <w:top w:type="dxa" w:w="80"/>
              <w:left w:type="dxa" w:w="110"/>
              <w:bottom w:type="dxa" w:w="80"/>
              <w:right w:type="dxa" w:w="110"/>
            </w:tcMar>
          </w:tcPr>
          <w:p>
            <w:pPr>
              <w:spacing w:line="264"/>
            </w:pPr>
            <w:r>
              <w:rPr>
                <w:b w:val="false"/>
                <w:bCs w:val="false"/>
                <w:color w:val="1C1C1C"/>
                <w:sz w:val="19"/>
                <w:szCs w:val="19"/>
              </w:rPr>
              <w:t xml:space="preserve">Months 1–2</w:t>
            </w:r>
          </w:p>
        </w:tc>
        <w:tc>
          <w:tcPr>
            <w:tcW w:type="dxa" w:w="3180"/>
            <w:tcMar>
              <w:top w:type="dxa" w:w="80"/>
              <w:left w:type="dxa" w:w="110"/>
              <w:bottom w:type="dxa" w:w="80"/>
              <w:right w:type="dxa" w:w="110"/>
            </w:tcMar>
          </w:tcPr>
          <w:p>
            <w:pPr>
              <w:spacing w:line="264"/>
            </w:pPr>
            <w:r>
              <w:rPr>
                <w:b w:val="false"/>
                <w:bCs w:val="false"/>
                <w:color w:val="1C1C1C"/>
                <w:sz w:val="19"/>
                <w:szCs w:val="19"/>
              </w:rPr>
              <w:t xml:space="preserve">Invite funders, partner CSOs and policymakers; populate the directory and resource exchange.</w:t>
            </w:r>
          </w:p>
        </w:tc>
        <w:tc>
          <w:tcPr>
            <w:tcW w:type="dxa" w:w="3180"/>
            <w:tcMar>
              <w:top w:type="dxa" w:w="80"/>
              <w:left w:type="dxa" w:w="110"/>
              <w:bottom w:type="dxa" w:w="80"/>
              <w:right w:type="dxa" w:w="110"/>
            </w:tcMar>
          </w:tcPr>
          <w:p>
            <w:pPr>
              <w:spacing w:line="264"/>
            </w:pPr>
            <w:r>
              <w:rPr>
                <w:b w:val="false"/>
                <w:bCs w:val="false"/>
                <w:color w:val="1C1C1C"/>
                <w:sz w:val="19"/>
                <w:szCs w:val="19"/>
              </w:rPr>
              <w:t xml:space="preserve">Partner spotlights; first petitions and memoranda opened for public signing.</w:t>
            </w:r>
          </w:p>
        </w:tc>
      </w:tr>
      <w:tr>
        <w:tc>
          <w:tcPr>
            <w:tcW w:type="dxa" w:w="1450"/>
            <w:shd w:fill="F2EFE7" w:color="auto" w:val="clear"/>
            <w:tcMar>
              <w:top w:type="dxa" w:w="80"/>
              <w:left w:type="dxa" w:w="110"/>
              <w:bottom w:type="dxa" w:w="80"/>
              <w:right w:type="dxa" w:w="110"/>
            </w:tcMar>
          </w:tcPr>
          <w:p>
            <w:pPr>
              <w:spacing w:line="264"/>
            </w:pPr>
            <w:r>
              <w:rPr>
                <w:b w:val="false"/>
                <w:bCs w:val="false"/>
                <w:color w:val="1C1C1C"/>
                <w:sz w:val="19"/>
                <w:szCs w:val="19"/>
              </w:rPr>
              <w:t xml:space="preserve">3 · Mobilise</w:t>
            </w:r>
          </w:p>
        </w:tc>
        <w:tc>
          <w:tcPr>
            <w:tcW w:type="dxa" w:w="1550"/>
            <w:shd w:fill="F2EFE7" w:color="auto" w:val="clear"/>
            <w:tcMar>
              <w:top w:type="dxa" w:w="80"/>
              <w:left w:type="dxa" w:w="110"/>
              <w:bottom w:type="dxa" w:w="80"/>
              <w:right w:type="dxa" w:w="110"/>
            </w:tcMar>
          </w:tcPr>
          <w:p>
            <w:pPr>
              <w:spacing w:line="264"/>
            </w:pPr>
            <w:r>
              <w:rPr>
                <w:b w:val="false"/>
                <w:bCs w:val="false"/>
                <w:color w:val="1C1C1C"/>
                <w:sz w:val="19"/>
                <w:szCs w:val="19"/>
              </w:rPr>
              <w:t xml:space="preserve">Months 2–4</w:t>
            </w:r>
          </w:p>
        </w:tc>
        <w:tc>
          <w:tcPr>
            <w:tcW w:type="dxa" w:w="3180"/>
            <w:shd w:fill="F2EFE7" w:color="auto" w:val="clear"/>
            <w:tcMar>
              <w:top w:type="dxa" w:w="80"/>
              <w:left w:type="dxa" w:w="110"/>
              <w:bottom w:type="dxa" w:w="80"/>
              <w:right w:type="dxa" w:w="110"/>
            </w:tcMar>
          </w:tcPr>
          <w:p>
            <w:pPr>
              <w:spacing w:line="264"/>
            </w:pPr>
            <w:r>
              <w:rPr>
                <w:b w:val="false"/>
                <w:bCs w:val="false"/>
                <w:color w:val="1C1C1C"/>
                <w:sz w:val="19"/>
                <w:szCs w:val="19"/>
              </w:rPr>
              <w:t xml:space="preserve">Drive campaigns on live fronts — Lamu, Siaya nuclear, River Yala, EACOP — with coordinated advocacy.</w:t>
            </w:r>
          </w:p>
        </w:tc>
        <w:tc>
          <w:tcPr>
            <w:tcW w:type="dxa" w:w="3180"/>
            <w:shd w:fill="F2EFE7" w:color="auto" w:val="clear"/>
            <w:tcMar>
              <w:top w:type="dxa" w:w="80"/>
              <w:left w:type="dxa" w:w="110"/>
              <w:bottom w:type="dxa" w:w="80"/>
              <w:right w:type="dxa" w:w="110"/>
            </w:tcMar>
          </w:tcPr>
          <w:p>
            <w:pPr>
              <w:spacing w:line="264"/>
            </w:pPr>
            <w:r>
              <w:rPr>
                <w:b w:val="false"/>
                <w:bCs w:val="false"/>
                <w:color w:val="1C1C1C"/>
                <w:sz w:val="19"/>
                <w:szCs w:val="19"/>
              </w:rPr>
              <w:t xml:space="preserve">Petition drives, convenings in the virtual space, county barazas, rapid disinformation rebuttals.</w:t>
            </w:r>
          </w:p>
        </w:tc>
      </w:tr>
      <w:tr>
        <w:tc>
          <w:tcPr>
            <w:tcW w:type="dxa" w:w="1450"/>
            <w:tcMar>
              <w:top w:type="dxa" w:w="80"/>
              <w:left w:type="dxa" w:w="110"/>
              <w:bottom w:type="dxa" w:w="80"/>
              <w:right w:type="dxa" w:w="110"/>
            </w:tcMar>
          </w:tcPr>
          <w:p>
            <w:pPr>
              <w:spacing w:line="264"/>
            </w:pPr>
            <w:r>
              <w:rPr>
                <w:b w:val="false"/>
                <w:bCs w:val="false"/>
                <w:color w:val="1C1C1C"/>
                <w:sz w:val="19"/>
                <w:szCs w:val="19"/>
              </w:rPr>
              <w:t xml:space="preserve">4 · Sustain</w:t>
            </w:r>
          </w:p>
        </w:tc>
        <w:tc>
          <w:tcPr>
            <w:tcW w:type="dxa" w:w="1550"/>
            <w:tcMar>
              <w:top w:type="dxa" w:w="80"/>
              <w:left w:type="dxa" w:w="110"/>
              <w:bottom w:type="dxa" w:w="80"/>
              <w:right w:type="dxa" w:w="110"/>
            </w:tcMar>
          </w:tcPr>
          <w:p>
            <w:pPr>
              <w:spacing w:line="264"/>
            </w:pPr>
            <w:r>
              <w:rPr>
                <w:b w:val="false"/>
                <w:bCs w:val="false"/>
                <w:color w:val="1C1C1C"/>
                <w:sz w:val="19"/>
                <w:szCs w:val="19"/>
              </w:rPr>
              <w:t xml:space="preserve">Ongoing</w:t>
            </w:r>
          </w:p>
        </w:tc>
        <w:tc>
          <w:tcPr>
            <w:tcW w:type="dxa" w:w="3180"/>
            <w:tcMar>
              <w:top w:type="dxa" w:w="80"/>
              <w:left w:type="dxa" w:w="110"/>
              <w:bottom w:type="dxa" w:w="80"/>
              <w:right w:type="dxa" w:w="110"/>
            </w:tcMar>
          </w:tcPr>
          <w:p>
            <w:pPr>
              <w:spacing w:line="264"/>
            </w:pPr>
            <w:r>
              <w:rPr>
                <w:b w:val="false"/>
                <w:bCs w:val="false"/>
                <w:color w:val="1C1C1C"/>
                <w:sz w:val="19"/>
                <w:szCs w:val="19"/>
              </w:rPr>
              <w:t xml:space="preserve">Keep the intelligence current via automated scanners; review coverage gaps quarterly.</w:t>
            </w:r>
          </w:p>
        </w:tc>
        <w:tc>
          <w:tcPr>
            <w:tcW w:type="dxa" w:w="3180"/>
            <w:tcMar>
              <w:top w:type="dxa" w:w="80"/>
              <w:left w:type="dxa" w:w="110"/>
              <w:bottom w:type="dxa" w:w="80"/>
              <w:right w:type="dxa" w:w="110"/>
            </w:tcMar>
          </w:tcPr>
          <w:p>
            <w:pPr>
              <w:spacing w:line="264"/>
            </w:pPr>
            <w:r>
              <w:rPr>
                <w:b w:val="false"/>
                <w:bCs w:val="false"/>
                <w:color w:val="1C1C1C"/>
                <w:sz w:val="19"/>
                <w:szCs w:val="19"/>
              </w:rPr>
              <w:t xml:space="preserve">Regular scanned-item and pulse updates; accountability index kept current as commitments change.</w:t>
            </w:r>
          </w:p>
        </w:tc>
      </w:tr>
    </w:tbl>
    <w:p>
      <w:pPr>
        <w:spacing w:after="80" w:line="288"/>
        <w:jc w:val="left"/>
      </w:pPr>
      <w:r>
        <w:rPr>
          <w:color w:val="1C1C1C"/>
          <w:sz w:val="21"/>
          <w:szCs w:val="21"/>
        </w:rPr>
        <w:t xml:space="preserve"/>
      </w:r>
    </w:p>
    <w:p>
      <w:pPr>
        <w:spacing w:after="140" w:line="288"/>
        <w:jc w:val="left"/>
      </w:pPr>
      <w:r>
        <w:rPr>
          <w:color w:val="1C1C1C"/>
          <w:sz w:val="21"/>
          <w:szCs w:val="21"/>
        </w:rPr>
        <w:t xml:space="preserve">Public momentum is carried on raia and across X, TikTok, Facebook and Instagram, and grounded in county barazas — so the campaign lives both online and in the communities most affected.</w:t>
      </w:r>
    </w:p>
    <w:p>
      <w:pPr>
        <w:pStyle w:val="Heading1"/>
        <w:spacing w:after="120" w:before="280"/>
      </w:pPr>
      <w:r>
        <w:rPr>
          <w:b/>
          <w:bCs/>
          <w:color w:val="1B6B4A"/>
          <w:sz w:val="30"/>
          <w:szCs w:val="30"/>
        </w:rPr>
        <w:t xml:space="preserve">Who we're inviting — and the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4400"/>
        <w:gridCol w:w="3200"/>
      </w:tblGrid>
      <w:tr>
        <w:trPr>
          <w:tblHeader/>
        </w:trPr>
        <w:tc>
          <w:tcPr>
            <w:tcW w:type="dxa" w:w="1760"/>
            <w:shd w:fill="1B6B4A" w:color="auto" w:val="clear"/>
            <w:tcMar>
              <w:top w:type="dxa" w:w="80"/>
              <w:left w:type="dxa" w:w="110"/>
              <w:bottom w:type="dxa" w:w="80"/>
              <w:right w:type="dxa" w:w="110"/>
            </w:tcMar>
          </w:tcPr>
          <w:p>
            <w:pPr>
              <w:spacing w:line="264"/>
            </w:pPr>
            <w:r>
              <w:rPr>
                <w:b/>
                <w:bCs/>
                <w:color w:val="FFFFFF"/>
                <w:sz w:val="19"/>
                <w:szCs w:val="19"/>
              </w:rPr>
              <w:t xml:space="preserve">Audience</w:t>
            </w:r>
          </w:p>
        </w:tc>
        <w:tc>
          <w:tcPr>
            <w:tcW w:type="dxa" w:w="4400"/>
            <w:shd w:fill="1B6B4A" w:color="auto" w:val="clear"/>
            <w:tcMar>
              <w:top w:type="dxa" w:w="80"/>
              <w:left w:type="dxa" w:w="110"/>
              <w:bottom w:type="dxa" w:w="80"/>
              <w:right w:type="dxa" w:w="110"/>
            </w:tcMar>
          </w:tcPr>
          <w:p>
            <w:pPr>
              <w:spacing w:line="264"/>
            </w:pPr>
            <w:r>
              <w:rPr>
                <w:b/>
                <w:bCs/>
                <w:color w:val="FFFFFF"/>
                <w:sz w:val="19"/>
                <w:szCs w:val="19"/>
              </w:rPr>
              <w:t xml:space="preserve">What the platform puts in your hands</w:t>
            </w:r>
          </w:p>
        </w:tc>
        <w:tc>
          <w:tcPr>
            <w:tcW w:type="dxa" w:w="3200"/>
            <w:shd w:fill="1B6B4A" w:color="auto" w:val="clear"/>
            <w:tcMar>
              <w:top w:type="dxa" w:w="80"/>
              <w:left w:type="dxa" w:w="110"/>
              <w:bottom w:type="dxa" w:w="80"/>
              <w:right w:type="dxa" w:w="110"/>
            </w:tcMar>
          </w:tcPr>
          <w:p>
            <w:pPr>
              <w:spacing w:line="264"/>
            </w:pPr>
            <w:r>
              <w:rPr>
                <w:b/>
                <w:bCs/>
                <w:color w:val="FFFFFF"/>
                <w:sz w:val="19"/>
                <w:szCs w:val="19"/>
              </w:rPr>
              <w:t xml:space="preserve">What we're asking</w:t>
            </w:r>
          </w:p>
        </w:tc>
      </w:tr>
      <w:tr>
        <w:tc>
          <w:tcPr>
            <w:tcW w:type="dxa" w:w="1760"/>
            <w:shd w:fill="F2EFE7" w:color="auto" w:val="clear"/>
            <w:tcMar>
              <w:top w:type="dxa" w:w="80"/>
              <w:left w:type="dxa" w:w="110"/>
              <w:bottom w:type="dxa" w:w="80"/>
              <w:right w:type="dxa" w:w="110"/>
            </w:tcMar>
          </w:tcPr>
          <w:p>
            <w:pPr>
              <w:spacing w:line="264"/>
            </w:pPr>
            <w:r>
              <w:rPr>
                <w:b w:val="false"/>
                <w:bCs w:val="false"/>
                <w:color w:val="1C1C1C"/>
                <w:sz w:val="19"/>
                <w:szCs w:val="19"/>
              </w:rPr>
              <w:t xml:space="preserve">Funders</w:t>
            </w:r>
          </w:p>
        </w:tc>
        <w:tc>
          <w:tcPr>
            <w:tcW w:type="dxa" w:w="4400"/>
            <w:tcMar>
              <w:top w:type="dxa" w:w="80"/>
              <w:left w:type="dxa" w:w="110"/>
              <w:bottom w:type="dxa" w:w="80"/>
              <w:right w:type="dxa" w:w="110"/>
            </w:tcMar>
          </w:tcPr>
          <w:p>
            <w:pPr>
              <w:spacing w:line="264"/>
            </w:pPr>
            <w:r>
              <w:rPr>
                <w:b w:val="false"/>
                <w:bCs w:val="false"/>
                <w:i w:val="false"/>
                <w:iCs w:val="false"/>
                <w:color w:val="1C1C1C"/>
                <w:sz w:val="19"/>
                <w:szCs w:val="19"/>
              </w:rPr>
              <w:t xml:space="preserve">A live map ranking counties by response gap — showing where a marginal grant moves the needle furthest. Exportable reach, coverage and engagement data. Live programme activity, not a retrospective annual report.</w:t>
            </w:r>
          </w:p>
        </w:tc>
        <w:tc>
          <w:tcPr>
            <w:tcW w:type="dxa" w:w="3200"/>
            <w:tcMar>
              <w:top w:type="dxa" w:w="80"/>
              <w:left w:type="dxa" w:w="110"/>
              <w:bottom w:type="dxa" w:w="80"/>
              <w:right w:type="dxa" w:w="110"/>
            </w:tcMar>
          </w:tcPr>
          <w:p>
            <w:pPr>
              <w:spacing w:line="264"/>
            </w:pPr>
            <w:r>
              <w:rPr>
                <w:b w:val="false"/>
                <w:bCs w:val="false"/>
                <w:i w:val="false"/>
                <w:iCs w:val="false"/>
                <w:color w:val="1C1C1C"/>
                <w:sz w:val="19"/>
                <w:szCs w:val="19"/>
              </w:rPr>
              <w:t xml:space="preserve">Fund or place a documentation partner in the top gap counties; back a live legal matter; support the coalition secretariat.</w:t>
            </w:r>
          </w:p>
        </w:tc>
      </w:tr>
      <w:tr>
        <w:tc>
          <w:tcPr>
            <w:tcW w:type="dxa" w:w="1760"/>
            <w:tcMar>
              <w:top w:type="dxa" w:w="80"/>
              <w:left w:type="dxa" w:w="110"/>
              <w:bottom w:type="dxa" w:w="80"/>
              <w:right w:type="dxa" w:w="110"/>
            </w:tcMar>
          </w:tcPr>
          <w:p>
            <w:pPr>
              <w:spacing w:line="264"/>
            </w:pPr>
            <w:r>
              <w:rPr>
                <w:b w:val="false"/>
                <w:bCs w:val="false"/>
                <w:color w:val="1C1C1C"/>
                <w:sz w:val="19"/>
                <w:szCs w:val="19"/>
              </w:rPr>
              <w:t xml:space="preserve">Partners (CSOs)</w:t>
            </w:r>
          </w:p>
        </w:tc>
        <w:tc>
          <w:tcPr>
            <w:tcW w:type="dxa" w:w="4400"/>
            <w:tcMar>
              <w:top w:type="dxa" w:w="80"/>
              <w:left w:type="dxa" w:w="110"/>
              <w:bottom w:type="dxa" w:w="80"/>
              <w:right w:type="dxa" w:w="110"/>
            </w:tcMar>
          </w:tcPr>
          <w:p>
            <w:pPr>
              <w:spacing w:line="264"/>
            </w:pPr>
            <w:r>
              <w:rPr>
                <w:b w:val="false"/>
                <w:bCs w:val="false"/>
                <w:i w:val="false"/>
                <w:iCs w:val="false"/>
                <w:color w:val="1C1C1C"/>
                <w:sz w:val="19"/>
                <w:szCs w:val="19"/>
              </w:rPr>
              <w:t xml:space="preserve">A place in a 60-plus organisation directory, a shared resource exchange, petition and memorandum tools, a video convening space, and a disinformation early-warning feed.</w:t>
            </w:r>
          </w:p>
        </w:tc>
        <w:tc>
          <w:tcPr>
            <w:tcW w:type="dxa" w:w="3200"/>
            <w:tcMar>
              <w:top w:type="dxa" w:w="80"/>
              <w:left w:type="dxa" w:w="110"/>
              <w:bottom w:type="dxa" w:w="80"/>
              <w:right w:type="dxa" w:w="110"/>
            </w:tcMar>
          </w:tcPr>
          <w:p>
            <w:pPr>
              <w:spacing w:line="264"/>
            </w:pPr>
            <w:r>
              <w:rPr>
                <w:b w:val="false"/>
                <w:bCs w:val="false"/>
                <w:i w:val="false"/>
                <w:iCs w:val="false"/>
                <w:color w:val="1C1C1C"/>
                <w:sz w:val="19"/>
                <w:szCs w:val="19"/>
              </w:rPr>
              <w:t xml:space="preserve">Join the directory, upload your resources, start or co-sign petitions, and document what's happening in your county.</w:t>
            </w:r>
          </w:p>
        </w:tc>
      </w:tr>
      <w:tr>
        <w:tc>
          <w:tcPr>
            <w:tcW w:type="dxa" w:w="1760"/>
            <w:shd w:fill="F2EFE7" w:color="auto" w:val="clear"/>
            <w:tcMar>
              <w:top w:type="dxa" w:w="80"/>
              <w:left w:type="dxa" w:w="110"/>
              <w:bottom w:type="dxa" w:w="80"/>
              <w:right w:type="dxa" w:w="110"/>
            </w:tcMar>
          </w:tcPr>
          <w:p>
            <w:pPr>
              <w:spacing w:line="264"/>
            </w:pPr>
            <w:r>
              <w:rPr>
                <w:b w:val="false"/>
                <w:bCs w:val="false"/>
                <w:color w:val="1C1C1C"/>
                <w:sz w:val="19"/>
                <w:szCs w:val="19"/>
              </w:rPr>
              <w:t xml:space="preserve">Policymakers</w:t>
            </w:r>
          </w:p>
        </w:tc>
        <w:tc>
          <w:tcPr>
            <w:tcW w:type="dxa" w:w="4400"/>
            <w:tcMar>
              <w:top w:type="dxa" w:w="80"/>
              <w:left w:type="dxa" w:w="110"/>
              <w:bottom w:type="dxa" w:w="80"/>
              <w:right w:type="dxa" w:w="110"/>
            </w:tcMar>
          </w:tcPr>
          <w:p>
            <w:pPr>
              <w:spacing w:line="264"/>
            </w:pPr>
            <w:r>
              <w:rPr>
                <w:b w:val="false"/>
                <w:bCs w:val="false"/>
                <w:i w:val="false"/>
                <w:iCs w:val="false"/>
                <w:color w:val="1C1C1C"/>
                <w:sz w:val="19"/>
                <w:szCs w:val="19"/>
              </w:rPr>
              <w:t xml:space="preserve">A tracked legal record linked to the Kenya Law reports, a corporate accountability index measuring financiers against their own climate promises, and clear evidence of where public participation has and hasn't happened.</w:t>
            </w:r>
          </w:p>
        </w:tc>
        <w:tc>
          <w:tcPr>
            <w:tcW w:type="dxa" w:w="3200"/>
            <w:tcMar>
              <w:top w:type="dxa" w:w="80"/>
              <w:left w:type="dxa" w:w="110"/>
              <w:bottom w:type="dxa" w:w="80"/>
              <w:right w:type="dxa" w:w="110"/>
            </w:tcMar>
          </w:tcPr>
          <w:p>
            <w:pPr>
              <w:spacing w:line="264"/>
            </w:pPr>
            <w:r>
              <w:rPr>
                <w:b w:val="false"/>
                <w:bCs w:val="false"/>
                <w:i w:val="false"/>
                <w:iCs w:val="false"/>
                <w:color w:val="1C1C1C"/>
                <w:sz w:val="19"/>
                <w:szCs w:val="19"/>
              </w:rPr>
              <w:t xml:space="preserve">Engage the evidence, honour public-participation obligations, and use the coalition as a standing source on extractive-sector decisions.</w:t>
            </w:r>
          </w:p>
        </w:tc>
      </w:tr>
    </w:tbl>
    <w:p>
      <w:pPr>
        <w:pStyle w:val="Heading1"/>
        <w:spacing w:after="120" w:before="280"/>
      </w:pPr>
      <w:r>
        <w:rPr>
          <w:b/>
          <w:bCs/>
          <w:color w:val="1B6B4A"/>
          <w:sz w:val="30"/>
          <w:szCs w:val="30"/>
        </w:rPr>
        <w:t xml:space="preserve">Why partner now</w:t>
      </w:r>
    </w:p>
    <w:p>
      <w:pPr>
        <w:pStyle w:val="ListParagraph"/>
        <w:numPr>
          <w:ilvl w:val="0"/>
          <w:numId w:val="1"/>
        </w:numPr>
        <w:spacing w:after="70" w:line="280"/>
      </w:pPr>
      <w:r>
        <w:rPr>
          <w:b/>
          <w:bCs/>
          <w:i w:val="false"/>
          <w:iCs w:val="false"/>
          <w:color w:val="1C1C1C"/>
          <w:sz w:val="21"/>
          <w:szCs w:val="21"/>
        </w:rPr>
        <w:t xml:space="preserve">Proven wins. </w:t>
      </w:r>
      <w:r>
        <w:rPr>
          <w:b w:val="false"/>
          <w:bCs w:val="false"/>
          <w:i w:val="false"/>
          <w:iCs w:val="false"/>
          <w:color w:val="1C1C1C"/>
          <w:sz w:val="21"/>
          <w:szCs w:val="21"/>
        </w:rPr>
        <w:t xml:space="preserve">The coalition's advocacy underpinned one of Africa's landmark climate-litigation victories at Lamu — reaffirmed by the courts as recently as 2025.</w:t>
      </w:r>
    </w:p>
    <w:p>
      <w:pPr>
        <w:pStyle w:val="ListParagraph"/>
        <w:numPr>
          <w:ilvl w:val="0"/>
          <w:numId w:val="1"/>
        </w:numPr>
        <w:spacing w:after="70" w:line="280"/>
      </w:pPr>
      <w:r>
        <w:rPr>
          <w:b/>
          <w:bCs/>
          <w:i w:val="false"/>
          <w:iCs w:val="false"/>
          <w:color w:val="1C1C1C"/>
          <w:sz w:val="21"/>
          <w:szCs w:val="21"/>
        </w:rPr>
        <w:t xml:space="preserve">Real breadth. </w:t>
      </w:r>
      <w:r>
        <w:rPr>
          <w:b w:val="false"/>
          <w:bCs w:val="false"/>
          <w:i w:val="false"/>
          <w:iCs w:val="false"/>
          <w:color w:val="1C1C1C"/>
          <w:sz w:val="21"/>
          <w:szCs w:val="21"/>
        </w:rPr>
        <w:t xml:space="preserve">More than sixty organisations, from national legal institutes to community groups in the counties where decisions land.</w:t>
      </w:r>
    </w:p>
    <w:p>
      <w:pPr>
        <w:pStyle w:val="ListParagraph"/>
        <w:numPr>
          <w:ilvl w:val="0"/>
          <w:numId w:val="1"/>
        </w:numPr>
        <w:spacing w:after="70" w:line="280"/>
      </w:pPr>
      <w:r>
        <w:rPr>
          <w:b/>
          <w:bCs/>
          <w:i w:val="false"/>
          <w:iCs w:val="false"/>
          <w:color w:val="1C1C1C"/>
          <w:sz w:val="21"/>
          <w:szCs w:val="21"/>
        </w:rPr>
        <w:t xml:space="preserve">Live intelligence. </w:t>
      </w:r>
      <w:r>
        <w:rPr>
          <w:b w:val="false"/>
          <w:bCs w:val="false"/>
          <w:i w:val="false"/>
          <w:iCs w:val="false"/>
          <w:color w:val="1C1C1C"/>
          <w:sz w:val="21"/>
          <w:szCs w:val="21"/>
        </w:rPr>
        <w:t xml:space="preserve">Automated scanners and human review keep the picture current, so partners and funders act on what is happening now, not last year's summary.</w:t>
      </w:r>
    </w:p>
    <w:p>
      <w:pPr>
        <w:pStyle w:val="ListParagraph"/>
        <w:numPr>
          <w:ilvl w:val="0"/>
          <w:numId w:val="1"/>
        </w:numPr>
        <w:spacing w:after="70" w:line="280"/>
      </w:pPr>
      <w:r>
        <w:rPr>
          <w:b/>
          <w:bCs/>
          <w:i w:val="false"/>
          <w:iCs w:val="false"/>
          <w:color w:val="1C1C1C"/>
          <w:sz w:val="21"/>
          <w:szCs w:val="21"/>
        </w:rPr>
        <w:t xml:space="preserve">Accountable by design. </w:t>
      </w:r>
      <w:r>
        <w:rPr>
          <w:b w:val="false"/>
          <w:bCs w:val="false"/>
          <w:i w:val="false"/>
          <w:iCs w:val="false"/>
          <w:color w:val="1C1C1C"/>
          <w:sz w:val="21"/>
          <w:szCs w:val="21"/>
        </w:rPr>
        <w:t xml:space="preserve">Every claim on the platform is sourced and every legal matter traceable to its primary record.</w:t>
      </w:r>
    </w:p>
    <w:p>
      <w:pPr>
        <w:pStyle w:val="Heading1"/>
        <w:spacing w:after="120" w:before="280"/>
      </w:pPr>
      <w:r>
        <w:rPr>
          <w:b/>
          <w:bCs/>
          <w:color w:val="1B6B4A"/>
          <w:sz w:val="30"/>
          <w:szCs w:val="30"/>
        </w:rPr>
        <w:t xml:space="preserve">Get involved</w:t>
      </w:r>
    </w:p>
    <w:p>
      <w:pPr>
        <w:spacing w:after="140" w:line="288"/>
        <w:jc w:val="left"/>
      </w:pPr>
      <w:r>
        <w:rPr>
          <w:b/>
          <w:bCs/>
          <w:i w:val="false"/>
          <w:iCs w:val="false"/>
          <w:color w:val="1C1C1C"/>
          <w:sz w:val="21"/>
          <w:szCs w:val="21"/>
        </w:rPr>
        <w:t xml:space="preserve">Funders</w:t>
      </w:r>
      <w:r>
        <w:rPr>
          <w:b w:val="false"/>
          <w:bCs w:val="false"/>
          <w:i w:val="false"/>
          <w:iCs w:val="false"/>
          <w:color w:val="1C1C1C"/>
          <w:sz w:val="21"/>
          <w:szCs w:val="21"/>
        </w:rPr>
        <w:t xml:space="preserve"> — request a walkthrough of the gap map and the exportable coverage data, and let us show you where a single placement changes the picture.</w:t>
      </w:r>
    </w:p>
    <w:p>
      <w:pPr>
        <w:spacing w:after="140" w:line="288"/>
        <w:jc w:val="left"/>
      </w:pPr>
      <w:r>
        <w:rPr>
          <w:b/>
          <w:bCs/>
          <w:i w:val="false"/>
          <w:iCs w:val="false"/>
          <w:color w:val="1C1C1C"/>
          <w:sz w:val="21"/>
          <w:szCs w:val="21"/>
        </w:rPr>
        <w:t xml:space="preserve">Partner organisations</w:t>
      </w:r>
      <w:r>
        <w:rPr>
          <w:b w:val="false"/>
          <w:bCs w:val="false"/>
          <w:i w:val="false"/>
          <w:iCs w:val="false"/>
          <w:color w:val="1C1C1C"/>
          <w:sz w:val="21"/>
          <w:szCs w:val="21"/>
        </w:rPr>
        <w:t xml:space="preserve"> — ask for a hub invitation, add your organisation to the directory, and start putting your resources and county documentation into the shared exchange.</w:t>
      </w:r>
    </w:p>
    <w:p>
      <w:pPr>
        <w:spacing w:after="140" w:line="288"/>
        <w:jc w:val="left"/>
      </w:pPr>
      <w:r>
        <w:rPr>
          <w:b/>
          <w:bCs/>
          <w:i w:val="false"/>
          <w:iCs w:val="false"/>
          <w:color w:val="1C1C1C"/>
          <w:sz w:val="21"/>
          <w:szCs w:val="21"/>
        </w:rPr>
        <w:t xml:space="preserve">Policymakers</w:t>
      </w:r>
      <w:r>
        <w:rPr>
          <w:b w:val="false"/>
          <w:bCs w:val="false"/>
          <w:i w:val="false"/>
          <w:iCs w:val="false"/>
          <w:color w:val="1C1C1C"/>
          <w:sz w:val="21"/>
          <w:szCs w:val="21"/>
        </w:rPr>
        <w:t xml:space="preserve"> — engage the legal record and the accountability index, and use the coalition as a standing, sourced reference on extractive-sector decisions.</w:t>
      </w:r>
    </w:p>
    <w:p>
      <w:pPr>
        <w:pBdr>
          <w:bottom w:val="single" w:color="D8CFC0" w:sz="6"/>
        </w:pBdr>
        <w:spacing w:after="120" w:before="60"/>
      </w:pPr>
    </w:p>
    <w:p>
      <w:pPr>
        <w:spacing w:after="140" w:line="288"/>
        <w:jc w:val="left"/>
      </w:pPr>
      <w:r>
        <w:rPr>
          <w:b w:val="false"/>
          <w:bCs w:val="false"/>
          <w:i w:val="false"/>
          <w:iCs w:val="false"/>
          <w:color w:val="5A6B62"/>
          <w:sz w:val="20"/>
          <w:szCs w:val="20"/>
        </w:rPr>
        <w:t xml:space="preserve">To join the campaign, request access or arrange a briefing, contact the deCOALonize secretariat through </w:t>
      </w:r>
      <w:r>
        <w:rPr>
          <w:b/>
          <w:bCs/>
          <w:i w:val="false"/>
          <w:iCs w:val="false"/>
          <w:color w:val="1B6B4A"/>
          <w:sz w:val="20"/>
          <w:szCs w:val="20"/>
        </w:rPr>
        <w:t xml:space="preserve">mazingirakenya.org</w:t>
      </w:r>
      <w:r>
        <w:rPr>
          <w:b w:val="false"/>
          <w:bCs w:val="false"/>
          <w:i w:val="false"/>
          <w:iCs w:val="false"/>
          <w:color w:val="5A6B62"/>
          <w:sz w:val="20"/>
          <w:szCs w:val="20"/>
        </w:rPr>
        <w:t xml:space="preserve">.</w:t>
      </w:r>
    </w:p>
    <w:p>
      <w:pPr>
        <w:spacing w:after="0" w:line="288"/>
        <w:jc w:val="left"/>
      </w:pPr>
      <w:r>
        <w:rPr>
          <w:b w:val="false"/>
          <w:bCs w:val="false"/>
          <w:i/>
          <w:iCs/>
          <w:color w:val="5A6B62"/>
          <w:sz w:val="18"/>
          <w:szCs w:val="18"/>
        </w:rPr>
        <w:t xml:space="preserve">Developed to consolidate knowledge sharing, sector coordination and public awareness across the climate and environmental-justice ecosystem in Kenya.</w:t>
      </w:r>
    </w:p>
    <w:sectPr>
      <w:footerReference w:type="default" r:id="rId7"/>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62"/>
        <w:sz w:val="16"/>
        <w:szCs w:val="16"/>
      </w:rPr>
      <w:t xml:space="preserve">MazingiraKenya · Convened by deCOALonize · </w:t>
    </w:r>
    <w:r>
      <w:rPr>
        <w:color w:val="5A6B6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MazingiraKenya — Launch Campaign &amp; Partnership Prospectus</dc:title>
  <dc:creator>MazingiraKenya / deCOALonize</dc:creator>
  <cp:lastModifiedBy>Un-named</cp:lastModifiedBy>
  <cp:revision>1</cp:revision>
  <dcterms:created xsi:type="dcterms:W3CDTF">2026-08-16T15:11:31.354Z</dcterms:created>
  <dcterms:modified xsi:type="dcterms:W3CDTF">2026-08-16T15:11:31.365Z</dcterms:modified>
</cp:coreProperties>
</file>

<file path=docProps/custom.xml><?xml version="1.0" encoding="utf-8"?>
<Properties xmlns="http://schemas.openxmlformats.org/officeDocument/2006/custom-properties" xmlns:vt="http://schemas.openxmlformats.org/officeDocument/2006/docPropsVTypes"/>
</file>