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Forensic Analysis Report: Priority vs Resolution Time Anomaly (May 2016)</w:t>
      </w:r>
    </w:p>
    <w:p>
      <w:r>
        <w:t>Dataset: Incident Management Process Enriched Event Log (UCI Repository)</w:t>
        <w:br/>
        <w:t>Investigation Period: 1 May 2016 – 31 May 2016</w:t>
        <w:br/>
      </w:r>
    </w:p>
    <w:p>
      <w:pPr>
        <w:pStyle w:val="Heading2"/>
      </w:pPr>
      <w:r>
        <w:t>1. Background</w:t>
      </w:r>
    </w:p>
    <w:p>
      <w:r>
        <w:t>An anomaly was detected in May 2016 where Priority 1 incidents exhibited longer median resolution times than Priority 2 incidents. This contradicts expected SLA hierarchy behavior.</w:t>
      </w:r>
    </w:p>
    <w:p>
      <w:pPr>
        <w:pStyle w:val="Heading2"/>
      </w:pPr>
      <w:r>
        <w:t>2. Observed Findings</w:t>
      </w:r>
    </w:p>
    <w:p>
      <w:r>
        <w:t>Median Resolution Time:</w:t>
        <w:br/>
        <w:t>• Priority 1: 190.17 hours</w:t>
        <w:br/>
        <w:t>• Priority 2: 141.43 hours</w:t>
        <w:br/>
        <w:br/>
        <w:t>Difference: ~49 hours longer for Priority 1 incidents.</w:t>
      </w:r>
    </w:p>
    <w:p>
      <w:pPr>
        <w:pStyle w:val="Heading2"/>
      </w:pPr>
      <w:r>
        <w:t>3. Root Cause Investigation</w:t>
      </w:r>
    </w:p>
    <w:p>
      <w:r>
        <w:t>Variables analyzed:</w:t>
        <w:br/>
        <w:t>• Reassignment Count</w:t>
        <w:br/>
        <w:t>• Reopen Count</w:t>
        <w:br/>
        <w:t>• SLA Compliance (made_sla)</w:t>
        <w:br/>
        <w:t>• System Modification Count (sys_mod_count)</w:t>
        <w:br/>
      </w:r>
    </w:p>
    <w:p>
      <w:pPr>
        <w:pStyle w:val="Heading2"/>
      </w:pPr>
      <w:r>
        <w:t>4. Key Evidence</w:t>
      </w:r>
    </w:p>
    <w:p>
      <w:r>
        <w:t>Reassignment Count (Median):</w:t>
        <w:br/>
        <w:t>• Priority 1: 1</w:t>
        <w:br/>
        <w:t>• Priority 2: 1</w:t>
        <w:br/>
        <w:br/>
        <w:t>Reopen Count (Median):</w:t>
        <w:br/>
        <w:t>• Both priorities: 0</w:t>
        <w:br/>
        <w:br/>
        <w:t>SLA Breach Rate:</w:t>
        <w:br/>
        <w:t>• Priority 1: ~97%</w:t>
        <w:br/>
        <w:t>• Priority 2: ~99%</w:t>
        <w:br/>
        <w:br/>
        <w:t>System Modification Count (Median):</w:t>
        <w:br/>
        <w:t>• Priority 1: 8</w:t>
        <w:br/>
        <w:t>• Priority 2: 6</w:t>
        <w:br/>
      </w:r>
    </w:p>
    <w:p>
      <w:pPr>
        <w:pStyle w:val="Heading2"/>
      </w:pPr>
      <w:r>
        <w:t>5. Forensic Interpretation</w:t>
      </w:r>
    </w:p>
    <w:p>
      <w:r>
        <w:t>The delay was not driven by reassignment or reopen cycles. Instead, Priority 1 incidents experienced higher system modification activity, indicating greater process interaction complexity.</w:t>
        <w:br/>
        <w:br/>
        <w:t>The near-universal SLA breach rate suggests systemic operational strain during May 2016.</w:t>
      </w:r>
    </w:p>
    <w:p>
      <w:pPr>
        <w:pStyle w:val="Heading2"/>
      </w:pPr>
      <w:r>
        <w:t>6. Conclusion</w:t>
      </w:r>
    </w:p>
    <w:p>
      <w:r>
        <w:t>The May 2016 anomaly represents a systemic operational disruption rather than isolated case delays. Increased handling complexity and widespread SLA breaches explain the inversion in priority-based resolution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