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Theme="majorEastAsia" w:hAnsi="Arial" w:cs="Arial"/>
          <w:caps/>
          <w:lang w:eastAsia="en-US"/>
        </w:rPr>
        <w:id w:val="-1660837862"/>
        <w:docPartObj>
          <w:docPartGallery w:val="Cover Pages"/>
          <w:docPartUnique/>
        </w:docPartObj>
      </w:sdtPr>
      <w:sdtEndPr>
        <w:rPr>
          <w:rFonts w:eastAsia="Arial"/>
          <w:caps w:val="0"/>
          <w:u w:color="000000"/>
        </w:rPr>
      </w:sdtEndPr>
      <w:sdtContent>
        <w:tbl>
          <w:tblPr>
            <w:tblW w:w="4516" w:type="pct"/>
            <w:jc w:val="center"/>
            <w:tblLook w:val="04A0" w:firstRow="1" w:lastRow="0" w:firstColumn="1" w:lastColumn="0" w:noHBand="0" w:noVBand="1"/>
          </w:tblPr>
          <w:tblGrid>
            <w:gridCol w:w="9950"/>
          </w:tblGrid>
          <w:tr w:rsidR="00AF3AD2" w:rsidRPr="00BB3B4C" w14:paraId="4F7983C6" w14:textId="77777777" w:rsidTr="00BF17C4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99EE30F" w14:textId="77777777" w:rsidR="00AF3AD2" w:rsidRPr="00BB3B4C" w:rsidRDefault="00AF3AD2" w:rsidP="00BF17C4">
                    <w:pPr>
                      <w:pStyle w:val="NoSpacing"/>
                      <w:jc w:val="center"/>
                      <w:rPr>
                        <w:rFonts w:ascii="Arial" w:eastAsiaTheme="majorEastAsia" w:hAnsi="Arial" w:cs="Arial"/>
                        <w:caps/>
                      </w:rPr>
                    </w:pPr>
                    <w:r w:rsidRPr="008831F8">
                      <w:rPr>
                        <w:rFonts w:asciiTheme="majorHAnsi" w:eastAsiaTheme="majorEastAsia" w:hAnsiTheme="majorHAnsi" w:cs="Arial"/>
                        <w:caps/>
                      </w:rPr>
                      <w:t>Abbott Laboratories</w:t>
                    </w:r>
                  </w:p>
                </w:tc>
              </w:sdtContent>
            </w:sdt>
          </w:tr>
          <w:tr w:rsidR="00AF3AD2" w:rsidRPr="00BB3B4C" w14:paraId="2514653D" w14:textId="77777777" w:rsidTr="00BF17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Arial"/>
                  <w:sz w:val="56"/>
                  <w:szCs w:val="4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3C12E28" w14:textId="3A54283A" w:rsidR="00AF3AD2" w:rsidRPr="00A34414" w:rsidRDefault="00586167" w:rsidP="00225F7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="Arial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Prognostic Health </w:t>
                    </w:r>
                    <w:r w:rsidR="00225F70"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>Notification</w:t>
                    </w: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 for </w:t>
                    </w:r>
                    <w:r w:rsidR="00BC5F1E"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>ALINITY i</w:t>
                    </w:r>
                    <w:r>
                      <w:rPr>
                        <w:rFonts w:asciiTheme="majorHAnsi" w:eastAsiaTheme="majorEastAsia" w:hAnsiTheme="majorHAnsi" w:cs="Arial"/>
                        <w:sz w:val="56"/>
                        <w:szCs w:val="44"/>
                      </w:rPr>
                      <w:t xml:space="preserve"> Optics Dark Counts</w:t>
                    </w:r>
                  </w:p>
                </w:tc>
              </w:sdtContent>
            </w:sdt>
          </w:tr>
          <w:tr w:rsidR="00AF3AD2" w:rsidRPr="00BB3B4C" w14:paraId="36F4627E" w14:textId="77777777" w:rsidTr="00BF17C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A7C8B30" w14:textId="1AD51BB1" w:rsidR="00AF3AD2" w:rsidRPr="00C35458" w:rsidRDefault="00BC5F1E" w:rsidP="00B54AF2">
                <w:pPr>
                  <w:pStyle w:val="NoSpacing"/>
                  <w:jc w:val="center"/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  <w:t>ALINITY i</w:t>
                </w:r>
                <w:r w:rsidR="00C35458" w:rsidRPr="00C35458">
                  <w:rPr>
                    <w:rFonts w:asciiTheme="majorHAnsi" w:eastAsiaTheme="majorEastAsia" w:hAnsiTheme="majorHAnsi" w:cs="Calibri"/>
                    <w:sz w:val="44"/>
                    <w:szCs w:val="44"/>
                  </w:rPr>
                  <w:t xml:space="preserve"> Immunoassay Analyzer</w:t>
                </w:r>
              </w:p>
            </w:tc>
          </w:tr>
          <w:tr w:rsidR="00AF3AD2" w:rsidRPr="00BB3B4C" w14:paraId="57D6E5AD" w14:textId="77777777" w:rsidTr="00BF17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8733C23" w14:textId="77777777" w:rsidR="00AF3AD2" w:rsidRPr="00BB3B4C" w:rsidRDefault="00AF3AD2" w:rsidP="00BF17C4">
                <w:pPr>
                  <w:pStyle w:val="NoSpacing"/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AF3AD2" w:rsidRPr="00BB3B4C" w14:paraId="365D0ABA" w14:textId="77777777" w:rsidTr="00BF17C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A360B51" w14:textId="7634D8F8" w:rsidR="00AF3AD2" w:rsidRPr="00A34414" w:rsidRDefault="00AF3AD2" w:rsidP="00397F68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 xml:space="preserve">R&amp;D </w:t>
                    </w:r>
                    <w:r w:rsidR="00225F70">
                      <w:rPr>
                        <w:rFonts w:cstheme="minorHAnsi"/>
                        <w:b/>
                        <w:bCs/>
                      </w:rPr>
                      <w:t>Quality Engineering, Version 1</w:t>
                    </w:r>
                    <w:r w:rsidR="00B54AF2">
                      <w:rPr>
                        <w:rFonts w:cstheme="minorHAnsi"/>
                        <w:b/>
                        <w:bCs/>
                      </w:rPr>
                      <w:t>.0</w:t>
                    </w:r>
                  </w:p>
                </w:tc>
              </w:sdtContent>
            </w:sdt>
          </w:tr>
          <w:tr w:rsidR="00AF3AD2" w:rsidRPr="00BB3B4C" w14:paraId="58E6A729" w14:textId="77777777" w:rsidTr="00BF17C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A71556B" w14:textId="2CAEED6A" w:rsidR="00AF3AD2" w:rsidRPr="00A34414" w:rsidRDefault="002A16E6" w:rsidP="006F5270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4/11/2017</w:t>
                    </w:r>
                  </w:p>
                </w:tc>
              </w:sdtContent>
            </w:sdt>
          </w:tr>
        </w:tbl>
        <w:p w14:paraId="23A7C010" w14:textId="77777777" w:rsidR="00AF3AD2" w:rsidRPr="00BB3B4C" w:rsidRDefault="00AF3AD2" w:rsidP="00AF3AD2">
          <w:pPr>
            <w:rPr>
              <w:rFonts w:ascii="Arial" w:hAnsi="Arial" w:cs="Arial"/>
            </w:rPr>
          </w:pPr>
        </w:p>
        <w:p w14:paraId="757FFC6D" w14:textId="77777777" w:rsidR="00AF3AD2" w:rsidRPr="00BB3B4C" w:rsidRDefault="00AF3AD2" w:rsidP="00AF3AD2">
          <w:pPr>
            <w:rPr>
              <w:rFonts w:ascii="Arial" w:hAnsi="Arial" w:cs="Aria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AF3AD2" w:rsidRPr="00BB3B4C" w14:paraId="11D7C8C6" w14:textId="77777777" w:rsidTr="00BF17C4">
            <w:tc>
              <w:tcPr>
                <w:tcW w:w="5000" w:type="pct"/>
              </w:tcPr>
              <w:p w14:paraId="4A03E0E7" w14:textId="77777777" w:rsidR="00AF3AD2" w:rsidRPr="00BB3B4C" w:rsidRDefault="00AF3AD2" w:rsidP="00BF17C4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</w:tbl>
        <w:p w14:paraId="1E3E1904" w14:textId="77777777" w:rsidR="00AF3AD2" w:rsidRPr="00BB3B4C" w:rsidRDefault="00AF3AD2" w:rsidP="00AF3AD2">
          <w:pPr>
            <w:widowControl/>
            <w:rPr>
              <w:rFonts w:ascii="Arial" w:eastAsia="Arial" w:hAnsi="Arial" w:cs="Arial"/>
              <w:b/>
              <w:bCs/>
              <w:color w:val="365F91" w:themeColor="accent1" w:themeShade="BF"/>
              <w:sz w:val="28"/>
              <w:szCs w:val="28"/>
              <w:u w:color="000000"/>
            </w:rPr>
          </w:pPr>
          <w:r w:rsidRPr="00BB3B4C">
            <w:rPr>
              <w:rFonts w:ascii="Arial" w:eastAsia="Arial" w:hAnsi="Arial" w:cs="Arial"/>
              <w:u w:color="0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  <w:lang w:eastAsia="en-US"/>
        </w:rPr>
        <w:id w:val="-187067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527410" w14:textId="77777777" w:rsidR="00AF3AD2" w:rsidRPr="007703B2" w:rsidRDefault="00AF3AD2" w:rsidP="00AF3AD2">
          <w:pPr>
            <w:pStyle w:val="TOCHeading"/>
            <w:rPr>
              <w:rFonts w:cs="Arial"/>
            </w:rPr>
          </w:pPr>
          <w:r w:rsidRPr="007703B2">
            <w:rPr>
              <w:rFonts w:cs="Arial"/>
            </w:rPr>
            <w:t>Table of Contents</w:t>
          </w:r>
        </w:p>
        <w:p w14:paraId="46851143" w14:textId="77777777" w:rsidR="00B139A6" w:rsidRDefault="00AF3AD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7703B2">
            <w:rPr>
              <w:rFonts w:asciiTheme="majorHAnsi" w:hAnsiTheme="majorHAnsi"/>
              <w:noProof w:val="0"/>
              <w:highlight w:val="yellow"/>
            </w:rPr>
            <w:fldChar w:fldCharType="begin"/>
          </w:r>
          <w:r w:rsidRPr="007703B2">
            <w:rPr>
              <w:rFonts w:asciiTheme="majorHAnsi" w:hAnsiTheme="majorHAnsi"/>
              <w:highlight w:val="yellow"/>
            </w:rPr>
            <w:instrText xml:space="preserve"> TOC \o "1-3" \h \z \u </w:instrText>
          </w:r>
          <w:r w:rsidRPr="007703B2">
            <w:rPr>
              <w:rFonts w:asciiTheme="majorHAnsi" w:hAnsiTheme="majorHAnsi"/>
              <w:noProof w:val="0"/>
              <w:highlight w:val="yellow"/>
            </w:rPr>
            <w:fldChar w:fldCharType="separate"/>
          </w:r>
          <w:hyperlink w:anchor="_Toc479667427" w:history="1">
            <w:r w:rsidR="00B139A6" w:rsidRPr="00043A23">
              <w:rPr>
                <w:rStyle w:val="Hyperlink"/>
              </w:rPr>
              <w:t>1.</w:t>
            </w:r>
            <w:r w:rsidR="00B139A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139A6" w:rsidRPr="00043A23">
              <w:rPr>
                <w:rStyle w:val="Hyperlink"/>
              </w:rPr>
              <w:t>Purpose</w:t>
            </w:r>
            <w:r w:rsidR="00B139A6">
              <w:rPr>
                <w:webHidden/>
              </w:rPr>
              <w:tab/>
            </w:r>
            <w:r w:rsidR="00B139A6">
              <w:rPr>
                <w:webHidden/>
              </w:rPr>
              <w:fldChar w:fldCharType="begin"/>
            </w:r>
            <w:r w:rsidR="00B139A6">
              <w:rPr>
                <w:webHidden/>
              </w:rPr>
              <w:instrText xml:space="preserve"> PAGEREF _Toc479667427 \h </w:instrText>
            </w:r>
            <w:r w:rsidR="00B139A6">
              <w:rPr>
                <w:webHidden/>
              </w:rPr>
            </w:r>
            <w:r w:rsidR="00B139A6">
              <w:rPr>
                <w:webHidden/>
              </w:rPr>
              <w:fldChar w:fldCharType="separate"/>
            </w:r>
            <w:r w:rsidR="00B139A6">
              <w:rPr>
                <w:webHidden/>
              </w:rPr>
              <w:t>3</w:t>
            </w:r>
            <w:r w:rsidR="00B139A6">
              <w:rPr>
                <w:webHidden/>
              </w:rPr>
              <w:fldChar w:fldCharType="end"/>
            </w:r>
          </w:hyperlink>
        </w:p>
        <w:p w14:paraId="79F41A3E" w14:textId="77777777" w:rsidR="00B139A6" w:rsidRDefault="0069780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667428" w:history="1">
            <w:r w:rsidR="00B139A6" w:rsidRPr="00043A23">
              <w:rPr>
                <w:rStyle w:val="Hyperlink"/>
              </w:rPr>
              <w:t>2.</w:t>
            </w:r>
            <w:r w:rsidR="00B139A6" w:rsidRPr="00043A23">
              <w:rPr>
                <w:rStyle w:val="Hyperlink"/>
                <w:rFonts w:eastAsia="Times New Roman"/>
                <w:spacing w:val="-65"/>
              </w:rPr>
              <w:t xml:space="preserve"> </w:t>
            </w:r>
            <w:r w:rsidR="00B139A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139A6" w:rsidRPr="00043A23">
              <w:rPr>
                <w:rStyle w:val="Hyperlink"/>
              </w:rPr>
              <w:t>Introduction</w:t>
            </w:r>
            <w:r w:rsidR="00B139A6">
              <w:rPr>
                <w:webHidden/>
              </w:rPr>
              <w:tab/>
            </w:r>
            <w:r w:rsidR="00B139A6">
              <w:rPr>
                <w:webHidden/>
              </w:rPr>
              <w:fldChar w:fldCharType="begin"/>
            </w:r>
            <w:r w:rsidR="00B139A6">
              <w:rPr>
                <w:webHidden/>
              </w:rPr>
              <w:instrText xml:space="preserve"> PAGEREF _Toc479667428 \h </w:instrText>
            </w:r>
            <w:r w:rsidR="00B139A6">
              <w:rPr>
                <w:webHidden/>
              </w:rPr>
            </w:r>
            <w:r w:rsidR="00B139A6">
              <w:rPr>
                <w:webHidden/>
              </w:rPr>
              <w:fldChar w:fldCharType="separate"/>
            </w:r>
            <w:r w:rsidR="00B139A6">
              <w:rPr>
                <w:webHidden/>
              </w:rPr>
              <w:t>3</w:t>
            </w:r>
            <w:r w:rsidR="00B139A6">
              <w:rPr>
                <w:webHidden/>
              </w:rPr>
              <w:fldChar w:fldCharType="end"/>
            </w:r>
          </w:hyperlink>
        </w:p>
        <w:p w14:paraId="249FB3BD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29" w:history="1">
            <w:r w:rsidR="00B139A6" w:rsidRPr="00043A23">
              <w:rPr>
                <w:rStyle w:val="Hyperlink"/>
                <w:rFonts w:eastAsia="Arial" w:cs="Arial"/>
                <w:noProof/>
              </w:rPr>
              <w:t>2.1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eastAsia="Arial" w:cs="Arial"/>
                <w:noProof/>
              </w:rPr>
              <w:t>Scope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_Toc479667429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3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1DBF0CD7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0" w:history="1">
            <w:r w:rsidR="00B139A6" w:rsidRPr="00043A23">
              <w:rPr>
                <w:rStyle w:val="Hyperlink"/>
                <w:rFonts w:eastAsia="Arial" w:cs="Arial"/>
                <w:noProof/>
              </w:rPr>
              <w:t>2.2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eastAsia="Arial" w:cs="Arial"/>
                <w:noProof/>
              </w:rPr>
              <w:t>Notification Profiles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_Toc479667430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3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455C49E7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1" w:history="1">
            <w:r w:rsidR="00B139A6" w:rsidRPr="00043A23">
              <w:rPr>
                <w:rStyle w:val="Hyperlink"/>
                <w:rFonts w:eastAsia="Arial" w:cs="Arial"/>
                <w:noProof/>
              </w:rPr>
              <w:t>2.3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eastAsia="Arial" w:cs="Arial"/>
                <w:noProof/>
              </w:rPr>
              <w:t>O</w:t>
            </w:r>
            <w:r w:rsidR="00B139A6" w:rsidRPr="00043A23">
              <w:rPr>
                <w:rStyle w:val="Hyperlink"/>
                <w:rFonts w:eastAsia="Arial" w:cs="Arial"/>
                <w:noProof/>
                <w:spacing w:val="-2"/>
              </w:rPr>
              <w:t>v</w:t>
            </w:r>
            <w:r w:rsidR="00B139A6" w:rsidRPr="00043A23">
              <w:rPr>
                <w:rStyle w:val="Hyperlink"/>
                <w:rFonts w:eastAsia="Arial" w:cs="Arial"/>
                <w:noProof/>
              </w:rPr>
              <w:t>e</w:t>
            </w:r>
            <w:r w:rsidR="00B139A6" w:rsidRPr="00043A23">
              <w:rPr>
                <w:rStyle w:val="Hyperlink"/>
                <w:rFonts w:eastAsia="Arial" w:cs="Arial"/>
                <w:noProof/>
                <w:spacing w:val="1"/>
              </w:rPr>
              <w:t>r</w:t>
            </w:r>
            <w:r w:rsidR="00B139A6" w:rsidRPr="00043A23">
              <w:rPr>
                <w:rStyle w:val="Hyperlink"/>
                <w:rFonts w:eastAsia="Arial" w:cs="Arial"/>
                <w:noProof/>
                <w:spacing w:val="-1"/>
              </w:rPr>
              <w:t>v</w:t>
            </w:r>
            <w:r w:rsidR="00B139A6" w:rsidRPr="00043A23">
              <w:rPr>
                <w:rStyle w:val="Hyperlink"/>
                <w:rFonts w:eastAsia="Arial" w:cs="Arial"/>
                <w:noProof/>
              </w:rPr>
              <w:t>i</w:t>
            </w:r>
            <w:r w:rsidR="00B139A6" w:rsidRPr="00043A23">
              <w:rPr>
                <w:rStyle w:val="Hyperlink"/>
                <w:rFonts w:eastAsia="Arial" w:cs="Arial"/>
                <w:noProof/>
                <w:spacing w:val="-2"/>
              </w:rPr>
              <w:t>e</w:t>
            </w:r>
            <w:r w:rsidR="00B139A6" w:rsidRPr="00043A23">
              <w:rPr>
                <w:rStyle w:val="Hyperlink"/>
                <w:rFonts w:eastAsia="Arial" w:cs="Arial"/>
                <w:noProof/>
              </w:rPr>
              <w:t>w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_Toc479667431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4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008C0CCC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2" w:history="1">
            <w:r w:rsidR="00B139A6" w:rsidRPr="00043A23">
              <w:rPr>
                <w:rStyle w:val="Hyperlink"/>
                <w:rFonts w:eastAsia="Arial"/>
                <w:noProof/>
              </w:rPr>
              <w:t>2.4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eastAsia="Arial"/>
                <w:noProof/>
              </w:rPr>
              <w:t>Abbreviations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_Toc479667432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4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17D3947A" w14:textId="77777777" w:rsidR="00B139A6" w:rsidRDefault="0069780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667433" w:history="1">
            <w:r w:rsidR="00B139A6" w:rsidRPr="00043A23">
              <w:rPr>
                <w:rStyle w:val="Hyperlink"/>
              </w:rPr>
              <w:t>3.</w:t>
            </w:r>
            <w:r w:rsidR="00B139A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139A6" w:rsidRPr="00043A23">
              <w:rPr>
                <w:rStyle w:val="Hyperlink"/>
              </w:rPr>
              <w:t>Data</w:t>
            </w:r>
            <w:r w:rsidR="00B139A6">
              <w:rPr>
                <w:webHidden/>
              </w:rPr>
              <w:tab/>
            </w:r>
            <w:r w:rsidR="00B139A6">
              <w:rPr>
                <w:webHidden/>
              </w:rPr>
              <w:fldChar w:fldCharType="begin"/>
            </w:r>
            <w:r w:rsidR="00B139A6">
              <w:rPr>
                <w:webHidden/>
              </w:rPr>
              <w:instrText xml:space="preserve"> PAGEREF _Toc479667433 \h </w:instrText>
            </w:r>
            <w:r w:rsidR="00B139A6">
              <w:rPr>
                <w:webHidden/>
              </w:rPr>
            </w:r>
            <w:r w:rsidR="00B139A6">
              <w:rPr>
                <w:webHidden/>
              </w:rPr>
              <w:fldChar w:fldCharType="separate"/>
            </w:r>
            <w:r w:rsidR="00B139A6">
              <w:rPr>
                <w:webHidden/>
              </w:rPr>
              <w:t>5</w:t>
            </w:r>
            <w:r w:rsidR="00B139A6">
              <w:rPr>
                <w:webHidden/>
              </w:rPr>
              <w:fldChar w:fldCharType="end"/>
            </w:r>
          </w:hyperlink>
        </w:p>
        <w:p w14:paraId="2AF3BFCD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4" w:history="1">
            <w:r w:rsidR="00B139A6" w:rsidRPr="00043A23">
              <w:rPr>
                <w:rStyle w:val="Hyperlink"/>
                <w:rFonts w:cs="Arial"/>
                <w:noProof/>
              </w:rPr>
              <w:t>3.1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cs="Arial"/>
                <w:noProof/>
              </w:rPr>
              <w:t>Source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_Toc479667434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5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6411D248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5" w:history="1">
            <w:r w:rsidR="00B139A6" w:rsidRPr="00043A23">
              <w:rPr>
                <w:rStyle w:val="Hyperlink"/>
                <w:rFonts w:cs="Arial"/>
                <w:noProof/>
              </w:rPr>
              <w:t>3.2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cs="Arial"/>
                <w:noProof/>
              </w:rPr>
              <w:t>Fields Needed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_Toc479667435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5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1ABCFC32" w14:textId="77777777" w:rsidR="00B139A6" w:rsidRDefault="0069780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667436" w:history="1">
            <w:r w:rsidR="00B139A6" w:rsidRPr="00043A23">
              <w:rPr>
                <w:rStyle w:val="Hyperlink"/>
              </w:rPr>
              <w:t>4.</w:t>
            </w:r>
            <w:r w:rsidR="00B139A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139A6" w:rsidRPr="00043A23">
              <w:rPr>
                <w:rStyle w:val="Hyperlink"/>
              </w:rPr>
              <w:t>Alert</w:t>
            </w:r>
            <w:r w:rsidR="00B139A6">
              <w:rPr>
                <w:webHidden/>
              </w:rPr>
              <w:tab/>
            </w:r>
            <w:r w:rsidR="00B139A6">
              <w:rPr>
                <w:webHidden/>
              </w:rPr>
              <w:fldChar w:fldCharType="begin"/>
            </w:r>
            <w:r w:rsidR="00B139A6">
              <w:rPr>
                <w:webHidden/>
              </w:rPr>
              <w:instrText xml:space="preserve"> PAGEREF _Toc479667436 \h </w:instrText>
            </w:r>
            <w:r w:rsidR="00B139A6">
              <w:rPr>
                <w:webHidden/>
              </w:rPr>
            </w:r>
            <w:r w:rsidR="00B139A6">
              <w:rPr>
                <w:webHidden/>
              </w:rPr>
              <w:fldChar w:fldCharType="separate"/>
            </w:r>
            <w:r w:rsidR="00B139A6">
              <w:rPr>
                <w:webHidden/>
              </w:rPr>
              <w:t>5</w:t>
            </w:r>
            <w:r w:rsidR="00B139A6">
              <w:rPr>
                <w:webHidden/>
              </w:rPr>
              <w:fldChar w:fldCharType="end"/>
            </w:r>
          </w:hyperlink>
        </w:p>
        <w:p w14:paraId="5F23D8D6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7" w:history="1">
            <w:r w:rsidR="00B139A6" w:rsidRPr="00043A23">
              <w:rPr>
                <w:rStyle w:val="Hyperlink"/>
                <w:rFonts w:cs="Arial"/>
                <w:noProof/>
              </w:rPr>
              <w:t>4.1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cs="Arial"/>
                <w:noProof/>
              </w:rPr>
              <w:t>Calculation for ALINITY I  Optics Dark Counts PHN Flag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_Toc479667437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5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7D427F4D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8" w:history="1">
            <w:r w:rsidR="00B139A6" w:rsidRPr="00043A23">
              <w:rPr>
                <w:rStyle w:val="Hyperlink"/>
                <w:rFonts w:cs="Arial"/>
                <w:noProof/>
              </w:rPr>
              <w:t>4.2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cs="Arial"/>
                <w:noProof/>
              </w:rPr>
              <w:t>Root Cause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_Toc479667438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6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7B1AACF2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39" w:history="1">
            <w:r w:rsidR="00B139A6" w:rsidRPr="00043A23">
              <w:rPr>
                <w:rStyle w:val="Hyperlink"/>
                <w:rFonts w:cs="Arial"/>
                <w:noProof/>
              </w:rPr>
              <w:t>4.3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rFonts w:cs="Arial"/>
                <w:noProof/>
              </w:rPr>
              <w:t>Recommended Action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_Toc479667439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6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4969C968" w14:textId="77777777" w:rsidR="00B139A6" w:rsidRDefault="0069780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79667440" w:history="1">
            <w:r w:rsidR="00B139A6" w:rsidRPr="00043A23">
              <w:rPr>
                <w:rStyle w:val="Hyperlink"/>
              </w:rPr>
              <w:t>5.</w:t>
            </w:r>
            <w:r w:rsidR="00B139A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139A6" w:rsidRPr="00043A23">
              <w:rPr>
                <w:rStyle w:val="Hyperlink"/>
              </w:rPr>
              <w:t>Methods and Supporting Evidence</w:t>
            </w:r>
            <w:r w:rsidR="00B139A6">
              <w:rPr>
                <w:webHidden/>
              </w:rPr>
              <w:tab/>
            </w:r>
            <w:r w:rsidR="00B139A6">
              <w:rPr>
                <w:webHidden/>
              </w:rPr>
              <w:fldChar w:fldCharType="begin"/>
            </w:r>
            <w:r w:rsidR="00B139A6">
              <w:rPr>
                <w:webHidden/>
              </w:rPr>
              <w:instrText xml:space="preserve"> PAGEREF _Toc479667440 \h </w:instrText>
            </w:r>
            <w:r w:rsidR="00B139A6">
              <w:rPr>
                <w:webHidden/>
              </w:rPr>
            </w:r>
            <w:r w:rsidR="00B139A6">
              <w:rPr>
                <w:webHidden/>
              </w:rPr>
              <w:fldChar w:fldCharType="separate"/>
            </w:r>
            <w:r w:rsidR="00B139A6">
              <w:rPr>
                <w:webHidden/>
              </w:rPr>
              <w:t>6</w:t>
            </w:r>
            <w:r w:rsidR="00B139A6">
              <w:rPr>
                <w:webHidden/>
              </w:rPr>
              <w:fldChar w:fldCharType="end"/>
            </w:r>
          </w:hyperlink>
        </w:p>
        <w:p w14:paraId="7A60809B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41" w:history="1">
            <w:r w:rsidR="00B139A6" w:rsidRPr="00043A23">
              <w:rPr>
                <w:rStyle w:val="Hyperlink"/>
                <w:rFonts w:cs="Arial"/>
                <w:noProof/>
              </w:rPr>
              <w:t>5.1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noProof/>
              </w:rPr>
              <w:t>Acquisition of ALINITY i Background Read Data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_Toc479667441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6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6332B4BD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42" w:history="1">
            <w:r w:rsidR="00B139A6" w:rsidRPr="00043A23">
              <w:rPr>
                <w:rStyle w:val="Hyperlink"/>
                <w:noProof/>
              </w:rPr>
              <w:t xml:space="preserve">5.2 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noProof/>
              </w:rPr>
              <w:t>Data Pre-processing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_Toc479667442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6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2B4CAF39" w14:textId="77777777" w:rsidR="00B139A6" w:rsidRDefault="0069780B">
          <w:pPr>
            <w:pStyle w:val="TOC2"/>
            <w:tabs>
              <w:tab w:val="left" w:pos="800"/>
              <w:tab w:val="right" w:leader="dot" w:pos="10790"/>
            </w:tabs>
            <w:rPr>
              <w:rFonts w:eastAsiaTheme="minorEastAsia"/>
              <w:noProof/>
            </w:rPr>
          </w:pPr>
          <w:hyperlink w:anchor="_Toc479667443" w:history="1">
            <w:r w:rsidR="00B139A6" w:rsidRPr="00043A23">
              <w:rPr>
                <w:rStyle w:val="Hyperlink"/>
                <w:noProof/>
              </w:rPr>
              <w:t>5.3</w:t>
            </w:r>
            <w:r w:rsidR="00B139A6">
              <w:rPr>
                <w:rFonts w:eastAsiaTheme="minorEastAsia"/>
                <w:noProof/>
              </w:rPr>
              <w:tab/>
            </w:r>
            <w:r w:rsidR="00B139A6" w:rsidRPr="00043A23">
              <w:rPr>
                <w:rStyle w:val="Hyperlink"/>
                <w:noProof/>
              </w:rPr>
              <w:t>Model</w:t>
            </w:r>
            <w:r w:rsidR="00B139A6">
              <w:rPr>
                <w:noProof/>
                <w:webHidden/>
              </w:rPr>
              <w:tab/>
            </w:r>
            <w:r w:rsidR="00B139A6">
              <w:rPr>
                <w:noProof/>
                <w:webHidden/>
              </w:rPr>
              <w:fldChar w:fldCharType="begin"/>
            </w:r>
            <w:r w:rsidR="00B139A6">
              <w:rPr>
                <w:noProof/>
                <w:webHidden/>
              </w:rPr>
              <w:instrText xml:space="preserve"> PAGEREF _Toc479667443 \h </w:instrText>
            </w:r>
            <w:r w:rsidR="00B139A6">
              <w:rPr>
                <w:noProof/>
                <w:webHidden/>
              </w:rPr>
            </w:r>
            <w:r w:rsidR="00B139A6">
              <w:rPr>
                <w:noProof/>
                <w:webHidden/>
              </w:rPr>
              <w:fldChar w:fldCharType="separate"/>
            </w:r>
            <w:r w:rsidR="00B139A6">
              <w:rPr>
                <w:noProof/>
                <w:webHidden/>
              </w:rPr>
              <w:t>7</w:t>
            </w:r>
            <w:r w:rsidR="00B139A6">
              <w:rPr>
                <w:noProof/>
                <w:webHidden/>
              </w:rPr>
              <w:fldChar w:fldCharType="end"/>
            </w:r>
          </w:hyperlink>
        </w:p>
        <w:p w14:paraId="36333736" w14:textId="77D4BDC7" w:rsidR="00310BAE" w:rsidRPr="00310BAE" w:rsidRDefault="00AF3AD2" w:rsidP="00310BAE">
          <w:pPr>
            <w:rPr>
              <w:rFonts w:asciiTheme="majorHAnsi" w:hAnsiTheme="majorHAnsi" w:cs="Arial"/>
            </w:rPr>
          </w:pPr>
          <w:r w:rsidRPr="007703B2">
            <w:rPr>
              <w:rFonts w:asciiTheme="majorHAnsi" w:hAnsiTheme="majorHAnsi" w:cs="Arial"/>
              <w:b/>
              <w:bCs/>
              <w:noProof/>
              <w:sz w:val="24"/>
              <w:szCs w:val="24"/>
              <w:highlight w:val="yellow"/>
            </w:rPr>
            <w:fldChar w:fldCharType="end"/>
          </w:r>
        </w:p>
      </w:sdtContent>
    </w:sdt>
    <w:p w14:paraId="65D9D441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70B09FF2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42F4FB0E" w14:textId="77777777" w:rsidR="00310BAE" w:rsidRDefault="00310BAE" w:rsidP="00310BAE">
      <w:pPr>
        <w:pStyle w:val="Heading1"/>
        <w:rPr>
          <w:rFonts w:eastAsia="Arial" w:cs="Arial"/>
          <w:u w:color="000000"/>
        </w:rPr>
      </w:pPr>
    </w:p>
    <w:p w14:paraId="37817FD8" w14:textId="77777777" w:rsidR="00310BAE" w:rsidRDefault="00310BAE" w:rsidP="00310BAE"/>
    <w:p w14:paraId="7E124161" w14:textId="77777777" w:rsidR="00310BAE" w:rsidRDefault="00310BAE" w:rsidP="00310BAE"/>
    <w:p w14:paraId="1D63241F" w14:textId="77777777" w:rsidR="00310BAE" w:rsidRDefault="00310BAE" w:rsidP="00310BAE"/>
    <w:p w14:paraId="7F6D72BA" w14:textId="77777777" w:rsidR="00310BAE" w:rsidRDefault="00310BAE" w:rsidP="00310BAE"/>
    <w:p w14:paraId="24D755FD" w14:textId="77777777" w:rsidR="00310BAE" w:rsidRDefault="00310BAE" w:rsidP="00310BAE"/>
    <w:p w14:paraId="740A8D85" w14:textId="77777777" w:rsidR="00310BAE" w:rsidRDefault="00310BAE" w:rsidP="00310BAE"/>
    <w:p w14:paraId="53E41383" w14:textId="77777777" w:rsidR="00310BAE" w:rsidRDefault="00310BAE" w:rsidP="00310BAE"/>
    <w:p w14:paraId="2ADE75C2" w14:textId="77777777" w:rsidR="00310BAE" w:rsidRDefault="00310BAE" w:rsidP="00310BAE"/>
    <w:p w14:paraId="12FDAC6B" w14:textId="4465A8CE" w:rsidR="00AF3AD2" w:rsidRPr="00A0799E" w:rsidRDefault="00AF3AD2" w:rsidP="00A0799E">
      <w:pPr>
        <w:pStyle w:val="Heading1"/>
        <w:numPr>
          <w:ilvl w:val="0"/>
          <w:numId w:val="19"/>
        </w:numPr>
        <w:ind w:hanging="720"/>
        <w:rPr>
          <w:rFonts w:eastAsia="Arial"/>
          <w:u w:color="000000"/>
        </w:rPr>
      </w:pPr>
      <w:bookmarkStart w:id="1" w:name="_Toc479667427"/>
      <w:r w:rsidRPr="00A0799E">
        <w:rPr>
          <w:rFonts w:eastAsia="Arial"/>
          <w:u w:color="000000"/>
        </w:rPr>
        <w:t>Purpose</w:t>
      </w:r>
      <w:bookmarkEnd w:id="1"/>
    </w:p>
    <w:p w14:paraId="28CC3427" w14:textId="0927E196" w:rsidR="00AF3AD2" w:rsidRDefault="00AF3AD2" w:rsidP="00AF3AD2">
      <w:pPr>
        <w:ind w:left="720"/>
        <w:rPr>
          <w:rFonts w:ascii="Times New Roman" w:hAnsi="Times New Roman" w:cs="Times New Roman"/>
          <w:sz w:val="24"/>
        </w:rPr>
      </w:pPr>
      <w:r w:rsidRPr="00533EC0">
        <w:rPr>
          <w:rFonts w:ascii="Times New Roman" w:hAnsi="Times New Roman" w:cs="Times New Roman"/>
          <w:sz w:val="24"/>
        </w:rPr>
        <w:t xml:space="preserve">To implement a Prognostic Health </w:t>
      </w:r>
      <w:r w:rsidR="00CF4906">
        <w:rPr>
          <w:rFonts w:ascii="Times New Roman" w:hAnsi="Times New Roman" w:cs="Times New Roman"/>
          <w:sz w:val="24"/>
        </w:rPr>
        <w:t>Notification</w:t>
      </w:r>
      <w:r w:rsidR="00225F70">
        <w:rPr>
          <w:rFonts w:ascii="Times New Roman" w:hAnsi="Times New Roman" w:cs="Times New Roman"/>
          <w:sz w:val="24"/>
        </w:rPr>
        <w:t xml:space="preserve"> (PHN</w:t>
      </w:r>
      <w:r w:rsidRPr="00533EC0">
        <w:rPr>
          <w:rFonts w:ascii="Times New Roman" w:hAnsi="Times New Roman" w:cs="Times New Roman"/>
          <w:sz w:val="24"/>
        </w:rPr>
        <w:t xml:space="preserve">) </w:t>
      </w:r>
      <w:r w:rsidR="00225F70">
        <w:rPr>
          <w:rFonts w:ascii="Times New Roman" w:hAnsi="Times New Roman" w:cs="Times New Roman"/>
          <w:sz w:val="24"/>
        </w:rPr>
        <w:t xml:space="preserve">for </w:t>
      </w:r>
      <w:r w:rsidR="00BC5F1E">
        <w:rPr>
          <w:rFonts w:ascii="Times New Roman" w:hAnsi="Times New Roman" w:cs="Times New Roman"/>
          <w:sz w:val="24"/>
        </w:rPr>
        <w:t xml:space="preserve">ALINITY </w:t>
      </w:r>
      <w:proofErr w:type="gramStart"/>
      <w:r w:rsidR="00BC5F1E">
        <w:rPr>
          <w:rFonts w:ascii="Times New Roman" w:hAnsi="Times New Roman" w:cs="Times New Roman"/>
          <w:sz w:val="24"/>
        </w:rPr>
        <w:t>i</w:t>
      </w:r>
      <w:r w:rsidR="00533EC0" w:rsidRPr="00533EC0">
        <w:rPr>
          <w:rFonts w:ascii="Times New Roman" w:hAnsi="Times New Roman" w:cs="Times New Roman"/>
          <w:sz w:val="24"/>
        </w:rPr>
        <w:t xml:space="preserve"> </w:t>
      </w:r>
      <w:r w:rsidR="00BC5F1E">
        <w:rPr>
          <w:rFonts w:ascii="Times New Roman" w:hAnsi="Times New Roman" w:cs="Times New Roman"/>
          <w:sz w:val="24"/>
        </w:rPr>
        <w:t xml:space="preserve"> </w:t>
      </w:r>
      <w:r w:rsidRPr="00533EC0">
        <w:rPr>
          <w:rFonts w:ascii="Times New Roman" w:eastAsia="Times New Roman" w:hAnsi="Times New Roman" w:cs="Times New Roman"/>
          <w:spacing w:val="-1"/>
          <w:sz w:val="24"/>
        </w:rPr>
        <w:t>Analyzers</w:t>
      </w:r>
      <w:proofErr w:type="gramEnd"/>
      <w:r w:rsidRPr="00533EC0">
        <w:rPr>
          <w:rFonts w:ascii="Times New Roman" w:hAnsi="Times New Roman" w:cs="Times New Roman"/>
          <w:sz w:val="24"/>
        </w:rPr>
        <w:t xml:space="preserve"> that will </w:t>
      </w:r>
      <w:r w:rsidR="00225F70">
        <w:rPr>
          <w:rFonts w:ascii="Times New Roman" w:hAnsi="Times New Roman" w:cs="Times New Roman"/>
          <w:sz w:val="24"/>
        </w:rPr>
        <w:t xml:space="preserve">detect </w:t>
      </w:r>
      <w:r w:rsidR="00533EC0" w:rsidRPr="00533EC0">
        <w:rPr>
          <w:rFonts w:ascii="Times New Roman" w:hAnsi="Times New Roman" w:cs="Times New Roman"/>
          <w:sz w:val="24"/>
        </w:rPr>
        <w:t xml:space="preserve">degrading </w:t>
      </w:r>
      <w:r w:rsidR="00533EC0">
        <w:rPr>
          <w:rFonts w:ascii="Times New Roman" w:hAnsi="Times New Roman" w:cs="Times New Roman"/>
          <w:sz w:val="24"/>
        </w:rPr>
        <w:t>Background Read</w:t>
      </w:r>
      <w:r w:rsidR="00533EC0" w:rsidRPr="00533EC0">
        <w:rPr>
          <w:rFonts w:ascii="Times New Roman" w:hAnsi="Times New Roman" w:cs="Times New Roman"/>
          <w:sz w:val="24"/>
        </w:rPr>
        <w:t xml:space="preserve"> performance before the customer begins experiencing an increase in Error: </w:t>
      </w:r>
      <w:r w:rsidR="00225F70">
        <w:rPr>
          <w:rFonts w:ascii="Times New Roman" w:hAnsi="Times New Roman" w:cs="Times New Roman"/>
          <w:sz w:val="24"/>
        </w:rPr>
        <w:t>1401 U</w:t>
      </w:r>
      <w:r w:rsidR="00533EC0" w:rsidRPr="00533EC0">
        <w:rPr>
          <w:rFonts w:ascii="Times New Roman" w:hAnsi="Times New Roman" w:cs="Times New Roman"/>
          <w:sz w:val="24"/>
        </w:rPr>
        <w:t>nable to process test, background read failure</w:t>
      </w:r>
      <w:r w:rsidR="00225F70">
        <w:rPr>
          <w:rFonts w:ascii="Times New Roman" w:hAnsi="Times New Roman" w:cs="Times New Roman"/>
          <w:sz w:val="24"/>
        </w:rPr>
        <w:t>.</w:t>
      </w:r>
    </w:p>
    <w:p w14:paraId="1784DB44" w14:textId="2FCF708D" w:rsidR="00FA6CF2" w:rsidRPr="00CA1A3C" w:rsidRDefault="00CA1A3C" w:rsidP="00FA6CF2">
      <w:pPr>
        <w:ind w:left="720"/>
        <w:rPr>
          <w:rFonts w:ascii="Times New Roman" w:hAnsi="Times New Roman" w:cs="Times New Roman"/>
          <w:color w:val="C00000"/>
          <w:sz w:val="28"/>
        </w:rPr>
      </w:pPr>
      <w:r w:rsidRPr="00CA1A3C">
        <w:rPr>
          <w:rFonts w:ascii="Times New Roman" w:hAnsi="Times New Roman" w:cs="Times New Roman"/>
          <w:b/>
          <w:color w:val="C00000"/>
          <w:sz w:val="24"/>
        </w:rPr>
        <w:t>Note:</w:t>
      </w:r>
      <w:r w:rsidRPr="00CA1A3C">
        <w:rPr>
          <w:rFonts w:ascii="Times New Roman" w:hAnsi="Times New Roman" w:cs="Times New Roman"/>
          <w:color w:val="C00000"/>
          <w:sz w:val="24"/>
        </w:rPr>
        <w:t xml:space="preserve">  </w:t>
      </w:r>
      <w:r w:rsidR="00FA6CF2" w:rsidRPr="00CA1A3C">
        <w:rPr>
          <w:rFonts w:ascii="Times New Roman" w:hAnsi="Times New Roman" w:cs="Times New Roman"/>
          <w:color w:val="C00000"/>
          <w:sz w:val="24"/>
        </w:rPr>
        <w:t>T</w:t>
      </w:r>
      <w:r w:rsidR="00C31110" w:rsidRPr="00CA1A3C">
        <w:rPr>
          <w:rFonts w:ascii="Times New Roman" w:hAnsi="Times New Roman" w:cs="Times New Roman"/>
          <w:color w:val="C00000"/>
          <w:sz w:val="24"/>
        </w:rPr>
        <w:t xml:space="preserve">he previous design document </w:t>
      </w:r>
      <w:r w:rsidR="00FA6CF2" w:rsidRPr="00CA1A3C">
        <w:rPr>
          <w:rFonts w:ascii="Times New Roman" w:hAnsi="Times New Roman" w:cs="Times New Roman"/>
          <w:color w:val="C00000"/>
          <w:sz w:val="24"/>
        </w:rPr>
        <w:t xml:space="preserve">for ICQ dark counts </w:t>
      </w:r>
      <w:r w:rsidR="00C31110" w:rsidRPr="00CA1A3C">
        <w:rPr>
          <w:rFonts w:ascii="Times New Roman" w:hAnsi="Times New Roman" w:cs="Times New Roman"/>
          <w:color w:val="C00000"/>
          <w:sz w:val="24"/>
        </w:rPr>
        <w:t xml:space="preserve">(D000021403/A) was a preliminary predictive </w:t>
      </w:r>
      <w:r w:rsidR="0072495D" w:rsidRPr="00CA1A3C">
        <w:rPr>
          <w:rFonts w:ascii="Times New Roman" w:hAnsi="Times New Roman" w:cs="Times New Roman"/>
          <w:color w:val="C00000"/>
          <w:sz w:val="24"/>
        </w:rPr>
        <w:t>algorithm</w:t>
      </w:r>
      <w:r w:rsidR="00C31110" w:rsidRPr="00CA1A3C">
        <w:rPr>
          <w:rFonts w:ascii="Times New Roman" w:hAnsi="Times New Roman" w:cs="Times New Roman"/>
          <w:color w:val="C00000"/>
          <w:sz w:val="24"/>
        </w:rPr>
        <w:t xml:space="preserve"> </w:t>
      </w:r>
      <w:r w:rsidRPr="00CA1A3C">
        <w:rPr>
          <w:rFonts w:ascii="Times New Roman" w:hAnsi="Times New Roman" w:cs="Times New Roman"/>
          <w:color w:val="C00000"/>
          <w:sz w:val="24"/>
        </w:rPr>
        <w:t xml:space="preserve">that was </w:t>
      </w:r>
      <w:r w:rsidR="00FA6CF2" w:rsidRPr="00CA1A3C">
        <w:rPr>
          <w:rFonts w:ascii="Times New Roman" w:hAnsi="Times New Roman" w:cs="Times New Roman"/>
          <w:color w:val="C00000"/>
          <w:sz w:val="24"/>
        </w:rPr>
        <w:t>base</w:t>
      </w:r>
      <w:r w:rsidRPr="00CA1A3C">
        <w:rPr>
          <w:rFonts w:ascii="Times New Roman" w:hAnsi="Times New Roman" w:cs="Times New Roman"/>
          <w:color w:val="C00000"/>
          <w:sz w:val="24"/>
        </w:rPr>
        <w:t xml:space="preserve">d on very limited data from prototype </w:t>
      </w:r>
      <w:r w:rsidR="00FA6CF2" w:rsidRPr="00CA1A3C">
        <w:rPr>
          <w:rFonts w:ascii="Times New Roman" w:hAnsi="Times New Roman" w:cs="Times New Roman"/>
          <w:color w:val="C00000"/>
          <w:sz w:val="24"/>
        </w:rPr>
        <w:t>instr</w:t>
      </w:r>
      <w:r>
        <w:rPr>
          <w:rFonts w:ascii="Times New Roman" w:hAnsi="Times New Roman" w:cs="Times New Roman"/>
          <w:color w:val="C00000"/>
          <w:sz w:val="24"/>
        </w:rPr>
        <w:t xml:space="preserve">uments that were </w:t>
      </w:r>
      <w:r w:rsidRPr="00CA1A3C">
        <w:rPr>
          <w:rFonts w:ascii="Times New Roman" w:hAnsi="Times New Roman" w:cs="Times New Roman"/>
          <w:color w:val="C00000"/>
          <w:sz w:val="24"/>
        </w:rPr>
        <w:t xml:space="preserve">still under development.  Until that </w:t>
      </w:r>
      <w:r w:rsidR="0072495D" w:rsidRPr="00CA1A3C">
        <w:rPr>
          <w:rFonts w:ascii="Times New Roman" w:hAnsi="Times New Roman" w:cs="Times New Roman"/>
          <w:color w:val="C00000"/>
          <w:sz w:val="24"/>
        </w:rPr>
        <w:t>predictive</w:t>
      </w:r>
      <w:r w:rsidRPr="00CA1A3C">
        <w:rPr>
          <w:rFonts w:ascii="Times New Roman" w:hAnsi="Times New Roman" w:cs="Times New Roman"/>
          <w:color w:val="C00000"/>
          <w:sz w:val="24"/>
        </w:rPr>
        <w:t xml:space="preserve"> algorithm can be re-optimized, t</w:t>
      </w:r>
      <w:r w:rsidR="00FA6CF2" w:rsidRPr="00CA1A3C">
        <w:rPr>
          <w:rFonts w:ascii="Times New Roman" w:hAnsi="Times New Roman" w:cs="Times New Roman"/>
          <w:color w:val="C00000"/>
          <w:sz w:val="24"/>
        </w:rPr>
        <w:t>his</w:t>
      </w:r>
      <w:r w:rsidR="00473592">
        <w:rPr>
          <w:rFonts w:ascii="Times New Roman" w:hAnsi="Times New Roman" w:cs="Times New Roman"/>
          <w:color w:val="C00000"/>
          <w:sz w:val="24"/>
        </w:rPr>
        <w:t xml:space="preserve"> Alinity i</w:t>
      </w:r>
      <w:r w:rsidR="00FA6CF2" w:rsidRPr="00CA1A3C">
        <w:rPr>
          <w:rFonts w:ascii="Times New Roman" w:hAnsi="Times New Roman" w:cs="Times New Roman"/>
          <w:color w:val="C00000"/>
          <w:sz w:val="24"/>
        </w:rPr>
        <w:t xml:space="preserve"> </w:t>
      </w:r>
      <w:r w:rsidRPr="00CA1A3C">
        <w:rPr>
          <w:rFonts w:ascii="Times New Roman" w:hAnsi="Times New Roman" w:cs="Times New Roman"/>
          <w:color w:val="C00000"/>
          <w:sz w:val="24"/>
        </w:rPr>
        <w:t>threshold-based PHN alert</w:t>
      </w:r>
      <w:r w:rsidR="00FA6CF2" w:rsidRPr="00CA1A3C">
        <w:rPr>
          <w:rFonts w:ascii="Times New Roman" w:hAnsi="Times New Roman" w:cs="Times New Roman"/>
          <w:color w:val="C00000"/>
          <w:sz w:val="24"/>
        </w:rPr>
        <w:t xml:space="preserve"> </w:t>
      </w:r>
      <w:r w:rsidRPr="00CA1A3C">
        <w:rPr>
          <w:rFonts w:ascii="Times New Roman" w:hAnsi="Times New Roman" w:cs="Times New Roman"/>
          <w:color w:val="C00000"/>
          <w:sz w:val="24"/>
        </w:rPr>
        <w:t>will take its place.</w:t>
      </w:r>
    </w:p>
    <w:p w14:paraId="3CF9873F" w14:textId="77777777" w:rsidR="00AF3AD2" w:rsidRPr="007703B2" w:rsidRDefault="00AF3AD2" w:rsidP="00AF3AD2">
      <w:pPr>
        <w:pStyle w:val="Heading1"/>
        <w:rPr>
          <w:rFonts w:eastAsia="Times New Roman" w:cs="Arial"/>
        </w:rPr>
      </w:pPr>
      <w:bookmarkStart w:id="2" w:name="_Toc479667428"/>
      <w:r w:rsidRPr="007703B2">
        <w:rPr>
          <w:rFonts w:eastAsia="Arial" w:cs="Arial"/>
        </w:rPr>
        <w:t>2.</w:t>
      </w:r>
      <w:r w:rsidRPr="007703B2">
        <w:rPr>
          <w:rFonts w:eastAsia="Times New Roman" w:cs="Arial"/>
          <w:spacing w:val="-65"/>
        </w:rPr>
        <w:t xml:space="preserve"> </w:t>
      </w:r>
      <w:r w:rsidRPr="007703B2">
        <w:rPr>
          <w:rFonts w:eastAsia="Times New Roman" w:cs="Arial"/>
        </w:rPr>
        <w:tab/>
      </w:r>
      <w:r w:rsidRPr="007703B2">
        <w:rPr>
          <w:rFonts w:eastAsia="Arial" w:cs="Arial"/>
        </w:rPr>
        <w:t>Introduction</w:t>
      </w:r>
      <w:bookmarkEnd w:id="2"/>
    </w:p>
    <w:p w14:paraId="4BC655E0" w14:textId="77777777" w:rsidR="00AF3AD2" w:rsidRPr="007703B2" w:rsidRDefault="00AF3AD2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3" w:name="_Toc479667429"/>
      <w:r w:rsidRPr="007703B2">
        <w:rPr>
          <w:rFonts w:eastAsia="Arial" w:cs="Arial"/>
          <w:color w:val="548DD4" w:themeColor="text2" w:themeTint="99"/>
        </w:rPr>
        <w:t>2.1</w:t>
      </w:r>
      <w:r w:rsidRPr="007703B2">
        <w:rPr>
          <w:rFonts w:eastAsia="Times New Roman" w:cs="Arial"/>
          <w:color w:val="548DD4" w:themeColor="text2" w:themeTint="99"/>
        </w:rPr>
        <w:tab/>
      </w:r>
      <w:r w:rsidRPr="007703B2">
        <w:rPr>
          <w:rFonts w:eastAsia="Arial" w:cs="Arial"/>
          <w:color w:val="548DD4" w:themeColor="text2" w:themeTint="99"/>
        </w:rPr>
        <w:t>Scope</w:t>
      </w:r>
      <w:bookmarkEnd w:id="3"/>
    </w:p>
    <w:p w14:paraId="12D951FD" w14:textId="25D2BD8F" w:rsidR="00AF3AD2" w:rsidRDefault="00AF3AD2" w:rsidP="00AF3AD2">
      <w:pPr>
        <w:spacing w:before="57" w:after="0" w:line="240" w:lineRule="auto"/>
        <w:ind w:left="720" w:right="852"/>
        <w:rPr>
          <w:rFonts w:ascii="Times New Roman" w:eastAsia="Times New Roman" w:hAnsi="Times New Roman" w:cs="Times New Roman"/>
          <w:sz w:val="24"/>
        </w:rPr>
      </w:pPr>
      <w:r w:rsidRPr="007D1420">
        <w:rPr>
          <w:rFonts w:ascii="Times New Roman" w:eastAsia="Times New Roman" w:hAnsi="Times New Roman" w:cs="Times New Roman"/>
          <w:sz w:val="24"/>
        </w:rPr>
        <w:t>This</w:t>
      </w:r>
      <w:r w:rsidRPr="007D1420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document</w:t>
      </w:r>
      <w:r w:rsidRPr="007D1420"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describes</w:t>
      </w:r>
      <w:r w:rsidRPr="007D1420"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the</w:t>
      </w:r>
      <w:r w:rsidRPr="007D1420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recommended</w:t>
      </w:r>
      <w:r w:rsidRPr="007D1420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>specifications</w:t>
      </w:r>
      <w:r w:rsidRPr="007D1420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7D1420">
        <w:rPr>
          <w:rFonts w:ascii="Times New Roman" w:eastAsia="Times New Roman" w:hAnsi="Times New Roman" w:cs="Times New Roman"/>
          <w:sz w:val="24"/>
        </w:rPr>
        <w:t xml:space="preserve">for the </w:t>
      </w:r>
      <w:r w:rsidR="006124C7">
        <w:rPr>
          <w:rFonts w:ascii="Times New Roman" w:eastAsia="Times New Roman" w:hAnsi="Times New Roman" w:cs="Times New Roman"/>
          <w:sz w:val="24"/>
        </w:rPr>
        <w:t xml:space="preserve">IA </w:t>
      </w:r>
      <w:r w:rsidR="00CF4906">
        <w:rPr>
          <w:rFonts w:ascii="Times New Roman" w:eastAsia="Times New Roman" w:hAnsi="Times New Roman" w:cs="Times New Roman"/>
          <w:sz w:val="24"/>
        </w:rPr>
        <w:t>Dark count</w:t>
      </w:r>
      <w:r w:rsidR="006124C7">
        <w:rPr>
          <w:rFonts w:ascii="Times New Roman" w:eastAsia="Times New Roman" w:hAnsi="Times New Roman" w:cs="Times New Roman"/>
          <w:sz w:val="24"/>
        </w:rPr>
        <w:t xml:space="preserve"> PHN</w:t>
      </w:r>
      <w:r w:rsidR="0049431D" w:rsidRPr="007D1420">
        <w:rPr>
          <w:rFonts w:ascii="Times New Roman" w:eastAsia="Times New Roman" w:hAnsi="Times New Roman" w:cs="Times New Roman"/>
          <w:sz w:val="24"/>
        </w:rPr>
        <w:t xml:space="preserve"> alert</w:t>
      </w:r>
      <w:r w:rsidRPr="007D1420">
        <w:rPr>
          <w:rFonts w:ascii="Times New Roman" w:eastAsia="Times New Roman" w:hAnsi="Times New Roman" w:cs="Times New Roman"/>
          <w:spacing w:val="-8"/>
          <w:sz w:val="24"/>
        </w:rPr>
        <w:t xml:space="preserve"> for the </w:t>
      </w:r>
      <w:r w:rsidR="00BC5F1E">
        <w:rPr>
          <w:rFonts w:ascii="Times New Roman" w:eastAsia="Times New Roman" w:hAnsi="Times New Roman" w:cs="Times New Roman"/>
          <w:spacing w:val="-8"/>
          <w:sz w:val="24"/>
        </w:rPr>
        <w:t>ALINITY i</w:t>
      </w:r>
      <w:r w:rsidRPr="007D1420">
        <w:rPr>
          <w:rFonts w:ascii="Times New Roman" w:eastAsia="Times New Roman" w:hAnsi="Times New Roman" w:cs="Times New Roman"/>
          <w:spacing w:val="-1"/>
          <w:sz w:val="24"/>
        </w:rPr>
        <w:t xml:space="preserve"> Analyzers</w:t>
      </w:r>
      <w:r w:rsidRPr="007D1420">
        <w:rPr>
          <w:rFonts w:ascii="Times New Roman" w:eastAsia="Times New Roman" w:hAnsi="Times New Roman" w:cs="Times New Roman"/>
          <w:sz w:val="24"/>
        </w:rPr>
        <w:t>.</w:t>
      </w:r>
    </w:p>
    <w:p w14:paraId="0495E185" w14:textId="77777777" w:rsidR="002629FB" w:rsidRPr="007D1420" w:rsidRDefault="002629FB" w:rsidP="00AF3AD2">
      <w:pPr>
        <w:spacing w:before="57" w:after="0" w:line="240" w:lineRule="auto"/>
        <w:ind w:left="720" w:right="852"/>
        <w:rPr>
          <w:rFonts w:ascii="Times New Roman" w:eastAsia="Times New Roman" w:hAnsi="Times New Roman" w:cs="Times New Roman"/>
          <w:sz w:val="24"/>
        </w:rPr>
      </w:pPr>
    </w:p>
    <w:p w14:paraId="362B01B2" w14:textId="66A78A59" w:rsidR="00AF3AD2" w:rsidRDefault="00AF3AD2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4" w:name="_Toc479667430"/>
      <w:r w:rsidRPr="007703B2">
        <w:rPr>
          <w:rFonts w:eastAsia="Arial" w:cs="Arial"/>
          <w:color w:val="548DD4" w:themeColor="text2" w:themeTint="99"/>
        </w:rPr>
        <w:t>2.2</w:t>
      </w:r>
      <w:r w:rsidRPr="007703B2">
        <w:rPr>
          <w:rFonts w:eastAsia="Times New Roman" w:cs="Arial"/>
          <w:color w:val="548DD4" w:themeColor="text2" w:themeTint="99"/>
        </w:rPr>
        <w:tab/>
      </w:r>
      <w:r w:rsidRPr="007703B2">
        <w:rPr>
          <w:rFonts w:eastAsia="Arial" w:cs="Arial"/>
          <w:color w:val="548DD4" w:themeColor="text2" w:themeTint="99"/>
        </w:rPr>
        <w:t>Notification Profiles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AF3AD2" w:rsidRPr="007D1420" w14:paraId="3A267003" w14:textId="77777777" w:rsidTr="00125F7E">
        <w:tc>
          <w:tcPr>
            <w:tcW w:w="4248" w:type="dxa"/>
          </w:tcPr>
          <w:p w14:paraId="2AECD8A4" w14:textId="05D18711" w:rsidR="00AF3AD2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PHN</w:t>
            </w:r>
            <w:r w:rsidR="00AF3AD2"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Alert</w:t>
            </w:r>
          </w:p>
        </w:tc>
        <w:tc>
          <w:tcPr>
            <w:tcW w:w="5670" w:type="dxa"/>
          </w:tcPr>
          <w:p w14:paraId="5B3FD049" w14:textId="42247D15" w:rsidR="00AF3AD2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Optics Dark Counts</w:t>
            </w:r>
            <w:r w:rsidR="0049431D"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Alert</w:t>
            </w:r>
          </w:p>
        </w:tc>
      </w:tr>
      <w:tr w:rsidR="00AF3AD2" w:rsidRPr="007D1420" w14:paraId="62D657E7" w14:textId="77777777" w:rsidTr="00125F7E">
        <w:tc>
          <w:tcPr>
            <w:tcW w:w="4248" w:type="dxa"/>
          </w:tcPr>
          <w:p w14:paraId="6BD4C445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Platform</w:t>
            </w:r>
          </w:p>
        </w:tc>
        <w:tc>
          <w:tcPr>
            <w:tcW w:w="5670" w:type="dxa"/>
          </w:tcPr>
          <w:p w14:paraId="5C7A81E7" w14:textId="2D49C7D8" w:rsidR="00AF3AD2" w:rsidRPr="007D1420" w:rsidRDefault="002A16E6" w:rsidP="00BF17C4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ALINITY i Immunoassay Analyzer</w:t>
            </w:r>
          </w:p>
        </w:tc>
      </w:tr>
      <w:tr w:rsidR="00AF3AD2" w:rsidRPr="007D1420" w14:paraId="34FF9BE8" w14:textId="77777777" w:rsidTr="00125F7E">
        <w:tc>
          <w:tcPr>
            <w:tcW w:w="4248" w:type="dxa"/>
          </w:tcPr>
          <w:p w14:paraId="53F722B7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Data Source</w:t>
            </w:r>
          </w:p>
        </w:tc>
        <w:tc>
          <w:tcPr>
            <w:tcW w:w="5670" w:type="dxa"/>
          </w:tcPr>
          <w:p w14:paraId="4AFBB29A" w14:textId="2BAC6D4F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IDA</w:t>
            </w:r>
            <w:r w:rsidR="002629FB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QOWNER</w:t>
            </w:r>
          </w:p>
        </w:tc>
      </w:tr>
      <w:tr w:rsidR="00AF3AD2" w:rsidRPr="007D1420" w14:paraId="49D075AE" w14:textId="77777777" w:rsidTr="00125F7E">
        <w:tc>
          <w:tcPr>
            <w:tcW w:w="4248" w:type="dxa"/>
          </w:tcPr>
          <w:p w14:paraId="4D0CE494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Notification</w:t>
            </w:r>
          </w:p>
        </w:tc>
        <w:tc>
          <w:tcPr>
            <w:tcW w:w="5670" w:type="dxa"/>
          </w:tcPr>
          <w:p w14:paraId="02A9DEAE" w14:textId="4014D941" w:rsidR="00AF3AD2" w:rsidRPr="007D1420" w:rsidRDefault="00AF3AD2" w:rsidP="00BF17C4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Daily Report / Instrument Serial Number</w:t>
            </w:r>
          </w:p>
        </w:tc>
      </w:tr>
      <w:tr w:rsidR="00AF3AD2" w:rsidRPr="007D1420" w14:paraId="0070EBAC" w14:textId="77777777" w:rsidTr="00125F7E">
        <w:tc>
          <w:tcPr>
            <w:tcW w:w="4248" w:type="dxa"/>
          </w:tcPr>
          <w:p w14:paraId="5D3F5E17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Analysis Frequency</w:t>
            </w:r>
          </w:p>
        </w:tc>
        <w:tc>
          <w:tcPr>
            <w:tcW w:w="5670" w:type="dxa"/>
          </w:tcPr>
          <w:p w14:paraId="63098CF1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Daily</w:t>
            </w:r>
          </w:p>
        </w:tc>
      </w:tr>
      <w:tr w:rsidR="00AF3AD2" w:rsidRPr="007D1420" w14:paraId="2BF82D1F" w14:textId="77777777" w:rsidTr="00125F7E">
        <w:tc>
          <w:tcPr>
            <w:tcW w:w="4248" w:type="dxa"/>
          </w:tcPr>
          <w:p w14:paraId="4613EF65" w14:textId="77777777" w:rsidR="00AF3AD2" w:rsidRPr="007D1420" w:rsidRDefault="00AF3AD2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Recommended Action</w:t>
            </w:r>
          </w:p>
        </w:tc>
        <w:tc>
          <w:tcPr>
            <w:tcW w:w="5670" w:type="dxa"/>
          </w:tcPr>
          <w:p w14:paraId="05D3DDFF" w14:textId="165C2D8A" w:rsidR="00B54AF2" w:rsidRPr="007D1420" w:rsidRDefault="007D1420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7D1420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Troubleshoot </w:t>
            </w:r>
            <w:r w:rsidR="00225F70">
              <w:rPr>
                <w:rFonts w:ascii="Times New Roman" w:hAnsi="Times New Roman" w:cs="Times New Roman"/>
                <w:sz w:val="24"/>
                <w:szCs w:val="24"/>
              </w:rPr>
              <w:t>1401</w:t>
            </w:r>
            <w:r w:rsidRPr="007D1420">
              <w:rPr>
                <w:rFonts w:ascii="Times New Roman" w:hAnsi="Times New Roman" w:cs="Times New Roman"/>
                <w:sz w:val="24"/>
                <w:szCs w:val="24"/>
              </w:rPr>
              <w:t xml:space="preserve"> Unable to process test, background read failure</w:t>
            </w:r>
          </w:p>
        </w:tc>
      </w:tr>
      <w:tr w:rsidR="00225F70" w:rsidRPr="007D1420" w14:paraId="7FB7100F" w14:textId="77777777" w:rsidTr="00125F7E">
        <w:tc>
          <w:tcPr>
            <w:tcW w:w="4248" w:type="dxa"/>
          </w:tcPr>
          <w:p w14:paraId="4C51F077" w14:textId="6812936A" w:rsidR="00225F70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IDA Table(s) Required</w:t>
            </w:r>
          </w:p>
        </w:tc>
        <w:tc>
          <w:tcPr>
            <w:tcW w:w="5670" w:type="dxa"/>
          </w:tcPr>
          <w:p w14:paraId="7E82EC7A" w14:textId="6FA45581" w:rsidR="00225F70" w:rsidRPr="007D1420" w:rsidRDefault="002629FB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ICQ</w:t>
            </w:r>
            <w:r w:rsidR="006E3B62">
              <w:rPr>
                <w:rFonts w:ascii="Times New Roman" w:hAnsi="Times New Roman" w:cs="Times New Roman"/>
                <w:sz w:val="24"/>
              </w:rPr>
              <w:t>_RESULTS</w:t>
            </w:r>
          </w:p>
        </w:tc>
      </w:tr>
      <w:tr w:rsidR="00125F7E" w:rsidRPr="007D1420" w14:paraId="2DC7A520" w14:textId="77777777" w:rsidTr="00125F7E">
        <w:tc>
          <w:tcPr>
            <w:tcW w:w="4248" w:type="dxa"/>
          </w:tcPr>
          <w:p w14:paraId="13DDC693" w14:textId="5F168E25" w:rsidR="00125F7E" w:rsidRDefault="00125F7E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ODR Table Fields Required</w:t>
            </w:r>
          </w:p>
        </w:tc>
        <w:tc>
          <w:tcPr>
            <w:tcW w:w="5670" w:type="dxa"/>
          </w:tcPr>
          <w:p w14:paraId="3E17AFFF" w14:textId="6ED00DB0" w:rsidR="00125F7E" w:rsidRDefault="002A16E6" w:rsidP="002A16E6">
            <w:pPr>
              <w:spacing w:before="57"/>
              <w:ind w:right="1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MODULESN</w:t>
            </w:r>
            <w:r w:rsidR="00125F7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34BBE">
              <w:rPr>
                <w:rFonts w:ascii="Times New Roman" w:hAnsi="Times New Roman" w:cs="Times New Roman"/>
                <w:sz w:val="24"/>
              </w:rPr>
              <w:t xml:space="preserve">TESTID, </w:t>
            </w:r>
            <w:r>
              <w:rPr>
                <w:rFonts w:ascii="Times New Roman" w:hAnsi="Times New Roman" w:cs="Times New Roman"/>
                <w:sz w:val="24"/>
              </w:rPr>
              <w:t>LOGDATE_LOCAL</w:t>
            </w:r>
            <w:r w:rsidR="00125F7E">
              <w:rPr>
                <w:rFonts w:ascii="Times New Roman" w:hAnsi="Times New Roman" w:cs="Times New Roman"/>
                <w:sz w:val="24"/>
              </w:rPr>
              <w:t>, INTEGRATEDDARKCOUNT</w:t>
            </w:r>
          </w:p>
        </w:tc>
      </w:tr>
      <w:tr w:rsidR="00225F70" w:rsidRPr="007D1420" w14:paraId="31A2F439" w14:textId="77777777" w:rsidTr="00125F7E">
        <w:tc>
          <w:tcPr>
            <w:tcW w:w="4248" w:type="dxa"/>
          </w:tcPr>
          <w:p w14:paraId="3CEC8B35" w14:textId="61C77734" w:rsidR="00225F70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Minimum number of t</w:t>
            </w:r>
            <w:r w:rsid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ests required in a day to apply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algorithm</w:t>
            </w:r>
          </w:p>
        </w:tc>
        <w:tc>
          <w:tcPr>
            <w:tcW w:w="5670" w:type="dxa"/>
          </w:tcPr>
          <w:p w14:paraId="59A53304" w14:textId="723F4CEC" w:rsidR="00225F70" w:rsidRPr="007D1420" w:rsidRDefault="00225F70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10</w:t>
            </w:r>
          </w:p>
        </w:tc>
      </w:tr>
      <w:tr w:rsidR="00225F70" w:rsidRPr="007D1420" w14:paraId="42AE74E3" w14:textId="77777777" w:rsidTr="00125F7E">
        <w:tc>
          <w:tcPr>
            <w:tcW w:w="4248" w:type="dxa"/>
          </w:tcPr>
          <w:p w14:paraId="669256A4" w14:textId="49AFA184" w:rsidR="00225F70" w:rsidRPr="007D1420" w:rsidRDefault="00225F70" w:rsidP="00BF17C4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Definition of Day</w:t>
            </w:r>
          </w:p>
        </w:tc>
        <w:tc>
          <w:tcPr>
            <w:tcW w:w="5670" w:type="dxa"/>
          </w:tcPr>
          <w:p w14:paraId="1712AE1E" w14:textId="71D42293" w:rsidR="00225F70" w:rsidRPr="007D1420" w:rsidRDefault="00225F70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Calendar Day</w:t>
            </w:r>
          </w:p>
        </w:tc>
      </w:tr>
      <w:tr w:rsidR="00125F7E" w:rsidRPr="007D1420" w14:paraId="23B09983" w14:textId="77777777" w:rsidTr="00125F7E">
        <w:tc>
          <w:tcPr>
            <w:tcW w:w="4248" w:type="dxa"/>
          </w:tcPr>
          <w:p w14:paraId="60C55B8F" w14:textId="5764A921" w:rsidR="00125F7E" w:rsidRDefault="00125F7E" w:rsidP="00A91FF8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Calculations Required</w:t>
            </w:r>
            <w:r w:rsidR="0007416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14:paraId="4BB93AF1" w14:textId="1D687FEA" w:rsidR="00A91FF8" w:rsidRPr="00A91FF8" w:rsidRDefault="002A16E6" w:rsidP="00A91FF8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By MODULESN</w:t>
            </w:r>
          </w:p>
          <w:p w14:paraId="01295D6C" w14:textId="0C56C1F9" w:rsidR="00125F7E" w:rsidRPr="00125F7E" w:rsidRDefault="00125F7E" w:rsidP="00125F7E">
            <w:pPr>
              <w:pStyle w:val="ListParagraph"/>
              <w:numPr>
                <w:ilvl w:val="0"/>
                <w:numId w:val="17"/>
              </w:num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Daily N </w:t>
            </w:r>
            <w:r w:rsidR="00F34BB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Unique TESTIDs</w:t>
            </w:r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Where INTEGRATEDDARKCOUNT is not missing</w:t>
            </w:r>
          </w:p>
          <w:p w14:paraId="43CFA135" w14:textId="77777777" w:rsidR="00125F7E" w:rsidRPr="00125F7E" w:rsidRDefault="00125F7E" w:rsidP="00125F7E">
            <w:pPr>
              <w:pStyle w:val="ListParagraph"/>
              <w:numPr>
                <w:ilvl w:val="0"/>
                <w:numId w:val="17"/>
              </w:num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Daily INTEGRATEDDARKCOUNT Max</w:t>
            </w:r>
          </w:p>
          <w:p w14:paraId="0E5666C0" w14:textId="2FFB82DF" w:rsidR="00125F7E" w:rsidRPr="00125F7E" w:rsidRDefault="00125F7E" w:rsidP="00125F7E">
            <w:pPr>
              <w:pStyle w:val="ListParagraph"/>
              <w:numPr>
                <w:ilvl w:val="0"/>
                <w:numId w:val="17"/>
              </w:num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Daily INTEGRATEDDARKCOUNT </w:t>
            </w:r>
            <w:proofErr w:type="spellStart"/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Std</w:t>
            </w:r>
            <w:proofErr w:type="spellEnd"/>
            <w:r w:rsidRPr="00125F7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Deviation</w:t>
            </w:r>
          </w:p>
        </w:tc>
      </w:tr>
      <w:tr w:rsidR="00225F70" w:rsidRPr="007D1420" w14:paraId="396EBB42" w14:textId="77777777" w:rsidTr="00125F7E">
        <w:tc>
          <w:tcPr>
            <w:tcW w:w="4248" w:type="dxa"/>
          </w:tcPr>
          <w:p w14:paraId="13089757" w14:textId="4E251593" w:rsidR="00225F70" w:rsidRPr="007D1420" w:rsidRDefault="00125F7E" w:rsidP="00125F7E">
            <w:pPr>
              <w:spacing w:before="57"/>
              <w:ind w:right="852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Flag Criteria</w:t>
            </w:r>
          </w:p>
        </w:tc>
        <w:tc>
          <w:tcPr>
            <w:tcW w:w="5670" w:type="dxa"/>
          </w:tcPr>
          <w:p w14:paraId="4BA2A3B2" w14:textId="02E6E5A7" w:rsidR="00225F70" w:rsidRPr="007D1420" w:rsidRDefault="00D96EAA" w:rsidP="00225F70">
            <w:pPr>
              <w:spacing w:before="57"/>
              <w:ind w:right="180"/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If INTEGRATEDDARKCOUNT Daily Max &gt;= 543, and INTEGRATEDDARKCOUNT Daily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D</w:t>
            </w:r>
            <w:r w:rsidR="00BC5F1E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ev &gt;= 110, then Flag, else no Fl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ag.</w:t>
            </w:r>
          </w:p>
        </w:tc>
      </w:tr>
    </w:tbl>
    <w:p w14:paraId="6AE7BB8D" w14:textId="41EB2562" w:rsidR="00AF3AD2" w:rsidRPr="007703B2" w:rsidRDefault="00AF3AD2" w:rsidP="00AF3AD2">
      <w:pPr>
        <w:rPr>
          <w:rFonts w:asciiTheme="majorHAnsi" w:hAnsiTheme="majorHAnsi" w:cs="Arial"/>
        </w:rPr>
      </w:pPr>
    </w:p>
    <w:p w14:paraId="28318E3C" w14:textId="77777777" w:rsidR="00AF3AD2" w:rsidRDefault="00AF3AD2" w:rsidP="00AF3AD2">
      <w:pPr>
        <w:pStyle w:val="Heading2"/>
        <w:ind w:firstLine="720"/>
        <w:rPr>
          <w:rFonts w:eastAsia="Arial" w:cs="Arial"/>
          <w:color w:val="548DD4" w:themeColor="text2" w:themeTint="99"/>
        </w:rPr>
      </w:pPr>
      <w:bookmarkStart w:id="5" w:name="_Toc479667431"/>
      <w:r w:rsidRPr="007703B2">
        <w:rPr>
          <w:rFonts w:eastAsia="Arial" w:cs="Arial"/>
          <w:color w:val="548DD4" w:themeColor="text2" w:themeTint="99"/>
        </w:rPr>
        <w:lastRenderedPageBreak/>
        <w:t>2.3</w:t>
      </w:r>
      <w:r w:rsidRPr="007703B2">
        <w:rPr>
          <w:rFonts w:eastAsia="Times New Roman" w:cs="Arial"/>
          <w:color w:val="548DD4" w:themeColor="text2" w:themeTint="99"/>
        </w:rPr>
        <w:tab/>
      </w:r>
      <w:r w:rsidRPr="007703B2">
        <w:rPr>
          <w:rFonts w:eastAsia="Arial" w:cs="Arial"/>
          <w:color w:val="548DD4" w:themeColor="text2" w:themeTint="99"/>
        </w:rPr>
        <w:t>O</w:t>
      </w:r>
      <w:r w:rsidRPr="007703B2">
        <w:rPr>
          <w:rFonts w:eastAsia="Arial" w:cs="Arial"/>
          <w:color w:val="548DD4" w:themeColor="text2" w:themeTint="99"/>
          <w:spacing w:val="-2"/>
        </w:rPr>
        <w:t>v</w:t>
      </w:r>
      <w:r w:rsidRPr="007703B2">
        <w:rPr>
          <w:rFonts w:eastAsia="Arial" w:cs="Arial"/>
          <w:color w:val="548DD4" w:themeColor="text2" w:themeTint="99"/>
        </w:rPr>
        <w:t>e</w:t>
      </w:r>
      <w:r w:rsidRPr="007703B2">
        <w:rPr>
          <w:rFonts w:eastAsia="Arial" w:cs="Arial"/>
          <w:color w:val="548DD4" w:themeColor="text2" w:themeTint="99"/>
          <w:spacing w:val="1"/>
        </w:rPr>
        <w:t>r</w:t>
      </w:r>
      <w:r w:rsidRPr="007703B2">
        <w:rPr>
          <w:rFonts w:eastAsia="Arial" w:cs="Arial"/>
          <w:color w:val="548DD4" w:themeColor="text2" w:themeTint="99"/>
          <w:spacing w:val="-1"/>
        </w:rPr>
        <w:t>v</w:t>
      </w:r>
      <w:r w:rsidRPr="007703B2">
        <w:rPr>
          <w:rFonts w:eastAsia="Arial" w:cs="Arial"/>
          <w:color w:val="548DD4" w:themeColor="text2" w:themeTint="99"/>
        </w:rPr>
        <w:t>i</w:t>
      </w:r>
      <w:r w:rsidRPr="007703B2">
        <w:rPr>
          <w:rFonts w:eastAsia="Arial" w:cs="Arial"/>
          <w:color w:val="548DD4" w:themeColor="text2" w:themeTint="99"/>
          <w:spacing w:val="-2"/>
        </w:rPr>
        <w:t>e</w:t>
      </w:r>
      <w:r w:rsidRPr="007703B2">
        <w:rPr>
          <w:rFonts w:eastAsia="Arial" w:cs="Arial"/>
          <w:color w:val="548DD4" w:themeColor="text2" w:themeTint="99"/>
        </w:rPr>
        <w:t>w</w:t>
      </w:r>
      <w:bookmarkEnd w:id="5"/>
    </w:p>
    <w:p w14:paraId="4115C20C" w14:textId="772F349C" w:rsidR="004A3C1C" w:rsidRPr="006E63DC" w:rsidRDefault="007D1420" w:rsidP="00CA1A3C">
      <w:pPr>
        <w:spacing w:after="0" w:line="240" w:lineRule="auto"/>
        <w:ind w:left="720" w:right="732"/>
        <w:rPr>
          <w:rFonts w:ascii="Times New Roman" w:hAnsi="Times New Roman" w:cs="Times New Roman"/>
          <w:sz w:val="24"/>
        </w:rPr>
      </w:pPr>
      <w:r w:rsidRPr="00866024">
        <w:rPr>
          <w:rFonts w:ascii="Times New Roman" w:hAnsi="Times New Roman" w:cs="Times New Roman"/>
          <w:sz w:val="24"/>
        </w:rPr>
        <w:t xml:space="preserve">The </w:t>
      </w:r>
      <w:r w:rsidR="00BC5F1E">
        <w:rPr>
          <w:rFonts w:ascii="Times New Roman" w:hAnsi="Times New Roman" w:cs="Times New Roman"/>
          <w:sz w:val="24"/>
        </w:rPr>
        <w:t>ALINITY i</w:t>
      </w:r>
      <w:r w:rsidRPr="008660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CMIA </w:t>
      </w:r>
      <w:r w:rsidRPr="00866024">
        <w:rPr>
          <w:rFonts w:ascii="Times New Roman" w:hAnsi="Times New Roman" w:cs="Times New Roman"/>
          <w:sz w:val="24"/>
        </w:rPr>
        <w:t>optics module collects</w:t>
      </w:r>
      <w:r>
        <w:rPr>
          <w:rFonts w:ascii="Times New Roman" w:hAnsi="Times New Roman" w:cs="Times New Roman"/>
          <w:sz w:val="24"/>
        </w:rPr>
        <w:t xml:space="preserve"> data during a background read prior to every sample read performed. </w:t>
      </w:r>
      <w:r w:rsidRPr="00866024">
        <w:rPr>
          <w:rFonts w:ascii="Times New Roman" w:hAnsi="Times New Roman" w:cs="Times New Roman"/>
          <w:sz w:val="24"/>
        </w:rPr>
        <w:t>The optics reader take</w:t>
      </w:r>
      <w:r w:rsidR="006E1267">
        <w:rPr>
          <w:rFonts w:ascii="Times New Roman" w:hAnsi="Times New Roman" w:cs="Times New Roman"/>
          <w:sz w:val="24"/>
        </w:rPr>
        <w:t>s 30 sub reads over a 3</w:t>
      </w:r>
      <w:r>
        <w:rPr>
          <w:rFonts w:ascii="Times New Roman" w:hAnsi="Times New Roman" w:cs="Times New Roman"/>
          <w:sz w:val="24"/>
        </w:rPr>
        <w:t xml:space="preserve"> second period, t</w:t>
      </w:r>
      <w:r w:rsidRPr="00866024">
        <w:rPr>
          <w:rFonts w:ascii="Times New Roman" w:hAnsi="Times New Roman" w:cs="Times New Roman"/>
          <w:sz w:val="24"/>
        </w:rPr>
        <w:t>he light col</w:t>
      </w:r>
      <w:r>
        <w:rPr>
          <w:rFonts w:ascii="Times New Roman" w:hAnsi="Times New Roman" w:cs="Times New Roman"/>
          <w:sz w:val="24"/>
        </w:rPr>
        <w:t xml:space="preserve">lected by the optics module is </w:t>
      </w:r>
      <w:r w:rsidRPr="00866024">
        <w:rPr>
          <w:rFonts w:ascii="Times New Roman" w:hAnsi="Times New Roman" w:cs="Times New Roman"/>
          <w:sz w:val="24"/>
        </w:rPr>
        <w:t>converted int</w:t>
      </w:r>
      <w:r>
        <w:rPr>
          <w:rFonts w:ascii="Times New Roman" w:hAnsi="Times New Roman" w:cs="Times New Roman"/>
          <w:sz w:val="24"/>
        </w:rPr>
        <w:t xml:space="preserve">o RLUs (Relative Light Units).  </w:t>
      </w:r>
      <w:r w:rsidRPr="00D87E96">
        <w:rPr>
          <w:rFonts w:ascii="Times New Roman" w:hAnsi="Times New Roman" w:cs="Times New Roman"/>
          <w:sz w:val="24"/>
        </w:rPr>
        <w:t xml:space="preserve">The counts are generated before the Trigger solution is added and the </w:t>
      </w:r>
      <w:r>
        <w:rPr>
          <w:rFonts w:ascii="Times New Roman" w:hAnsi="Times New Roman" w:cs="Times New Roman"/>
          <w:sz w:val="24"/>
        </w:rPr>
        <w:t xml:space="preserve">sample </w:t>
      </w:r>
      <w:r w:rsidRPr="00D87E96">
        <w:rPr>
          <w:rFonts w:ascii="Times New Roman" w:hAnsi="Times New Roman" w:cs="Times New Roman"/>
          <w:sz w:val="24"/>
        </w:rPr>
        <w:t>signal read occur</w:t>
      </w:r>
      <w:r>
        <w:rPr>
          <w:rFonts w:ascii="Times New Roman" w:hAnsi="Times New Roman" w:cs="Times New Roman"/>
          <w:sz w:val="24"/>
        </w:rPr>
        <w:t>s (activated read).</w:t>
      </w:r>
      <w:r w:rsidRPr="00D87E96">
        <w:rPr>
          <w:rFonts w:ascii="Times New Roman" w:hAnsi="Times New Roman" w:cs="Times New Roman"/>
          <w:sz w:val="24"/>
        </w:rPr>
        <w:t xml:space="preserve"> </w:t>
      </w:r>
      <w:r w:rsidR="004A3C1C" w:rsidRPr="006E63DC">
        <w:rPr>
          <w:rFonts w:ascii="Times New Roman" w:hAnsi="Times New Roman" w:cs="Times New Roman"/>
          <w:sz w:val="24"/>
        </w:rPr>
        <w:t>Optical system</w:t>
      </w:r>
    </w:p>
    <w:p w14:paraId="29F1ECCA" w14:textId="77777777" w:rsidR="004A3C1C" w:rsidRDefault="004A3C1C" w:rsidP="007D1420">
      <w:pPr>
        <w:ind w:left="720"/>
        <w:rPr>
          <w:b/>
          <w:i/>
          <w:color w:val="1F497D" w:themeColor="text2"/>
        </w:rPr>
      </w:pPr>
    </w:p>
    <w:p w14:paraId="59413998" w14:textId="43D0430C" w:rsidR="00AF0727" w:rsidRDefault="004A3C1C" w:rsidP="00AF0727">
      <w:pPr>
        <w:ind w:left="72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A90EF5" wp14:editId="581C47BB">
            <wp:extent cx="4417765" cy="2361698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43" cy="23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0E8B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Legend:</w:t>
      </w:r>
    </w:p>
    <w:p w14:paraId="08A5AC70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1. Photomultiplier tube (PMT)</w:t>
      </w:r>
    </w:p>
    <w:p w14:paraId="56D4F22B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2. CMIA reader</w:t>
      </w:r>
    </w:p>
    <w:p w14:paraId="425B3F47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3. Light pipe</w:t>
      </w:r>
    </w:p>
    <w:p w14:paraId="41975099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4. Trigger Solution delivery nozzle</w:t>
      </w:r>
    </w:p>
    <w:p w14:paraId="64FBD432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5. Reaction vessel</w:t>
      </w:r>
    </w:p>
    <w:p w14:paraId="2C088178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6. Magnet</w:t>
      </w:r>
    </w:p>
    <w:p w14:paraId="5D5BA35F" w14:textId="77777777" w:rsidR="004A3C1C" w:rsidRPr="006E63DC" w:rsidRDefault="004A3C1C" w:rsidP="004A3C1C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>7. CMIA shutter assembly</w:t>
      </w:r>
    </w:p>
    <w:p w14:paraId="1F9757FE" w14:textId="77777777" w:rsidR="004A3C1C" w:rsidRDefault="004A3C1C" w:rsidP="004A3C1C">
      <w:pPr>
        <w:spacing w:after="0" w:line="240" w:lineRule="auto"/>
        <w:ind w:left="720" w:right="732"/>
        <w:rPr>
          <w:rFonts w:ascii="Times New Roman" w:hAnsi="Times New Roman" w:cs="Times New Roman"/>
          <w:sz w:val="24"/>
        </w:rPr>
      </w:pPr>
    </w:p>
    <w:p w14:paraId="7AF07702" w14:textId="4229F843" w:rsidR="004A3C1C" w:rsidRDefault="004A3C1C" w:rsidP="00471556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6E63DC">
        <w:rPr>
          <w:rFonts w:ascii="Times New Roman" w:hAnsi="Times New Roman" w:cs="Times New Roman"/>
          <w:sz w:val="24"/>
        </w:rPr>
        <w:t xml:space="preserve">Optical measurement is the process an </w:t>
      </w:r>
      <w:r w:rsidR="00BC5F1E">
        <w:rPr>
          <w:rFonts w:ascii="Times New Roman" w:hAnsi="Times New Roman" w:cs="Times New Roman"/>
          <w:sz w:val="24"/>
        </w:rPr>
        <w:t xml:space="preserve">ALINITY </w:t>
      </w:r>
      <w:proofErr w:type="gramStart"/>
      <w:r w:rsidR="00BC5F1E">
        <w:rPr>
          <w:rFonts w:ascii="Times New Roman" w:hAnsi="Times New Roman" w:cs="Times New Roman"/>
          <w:sz w:val="24"/>
        </w:rPr>
        <w:t xml:space="preserve">i </w:t>
      </w:r>
      <w:r w:rsidR="00471556">
        <w:rPr>
          <w:rFonts w:ascii="Times New Roman" w:hAnsi="Times New Roman" w:cs="Times New Roman"/>
          <w:sz w:val="24"/>
        </w:rPr>
        <w:t xml:space="preserve"> system</w:t>
      </w:r>
      <w:proofErr w:type="gramEnd"/>
      <w:r w:rsidR="00471556">
        <w:rPr>
          <w:rFonts w:ascii="Times New Roman" w:hAnsi="Times New Roman" w:cs="Times New Roman"/>
          <w:sz w:val="24"/>
        </w:rPr>
        <w:t xml:space="preserve"> </w:t>
      </w:r>
      <w:r w:rsidRPr="006E63DC">
        <w:rPr>
          <w:rFonts w:ascii="Times New Roman" w:hAnsi="Times New Roman" w:cs="Times New Roman"/>
          <w:sz w:val="24"/>
        </w:rPr>
        <w:t>uses to obtain RLU(relative light unit) readings, and then convert them to assay-specific</w:t>
      </w:r>
      <w:r>
        <w:rPr>
          <w:rFonts w:ascii="Times New Roman" w:hAnsi="Times New Roman" w:cs="Times New Roman"/>
          <w:sz w:val="24"/>
        </w:rPr>
        <w:t xml:space="preserve"> </w:t>
      </w:r>
      <w:r w:rsidRPr="006E63DC">
        <w:rPr>
          <w:rFonts w:ascii="Times New Roman" w:hAnsi="Times New Roman" w:cs="Times New Roman"/>
          <w:sz w:val="24"/>
        </w:rPr>
        <w:t>analyte concentration units or qualit</w:t>
      </w:r>
      <w:r w:rsidR="00471556">
        <w:rPr>
          <w:rFonts w:ascii="Times New Roman" w:hAnsi="Times New Roman" w:cs="Times New Roman"/>
          <w:sz w:val="24"/>
        </w:rPr>
        <w:t xml:space="preserve">ative interpretations for index </w:t>
      </w:r>
      <w:r w:rsidRPr="006E63DC">
        <w:rPr>
          <w:rFonts w:ascii="Times New Roman" w:hAnsi="Times New Roman" w:cs="Times New Roman"/>
          <w:sz w:val="24"/>
        </w:rPr>
        <w:t>(cutoff) assays.</w:t>
      </w:r>
      <w:r>
        <w:rPr>
          <w:rFonts w:ascii="Times New Roman" w:hAnsi="Times New Roman" w:cs="Times New Roman"/>
          <w:sz w:val="24"/>
        </w:rPr>
        <w:t xml:space="preserve"> A background read is performed prior to any activated read to ensure proper CMIA optics operation. </w:t>
      </w:r>
    </w:p>
    <w:p w14:paraId="2501CFF4" w14:textId="642DC827" w:rsidR="00AF3AD2" w:rsidRPr="007703B2" w:rsidRDefault="00AF3AD2" w:rsidP="00AF3AD2">
      <w:pPr>
        <w:pStyle w:val="Heading2"/>
        <w:ind w:firstLine="720"/>
        <w:rPr>
          <w:rFonts w:eastAsia="Arial"/>
        </w:rPr>
      </w:pPr>
      <w:bookmarkStart w:id="6" w:name="_Toc394589818"/>
      <w:bookmarkStart w:id="7" w:name="_Toc479667432"/>
      <w:r w:rsidRPr="007703B2">
        <w:rPr>
          <w:rFonts w:eastAsia="Arial"/>
        </w:rPr>
        <w:t>2.</w:t>
      </w:r>
      <w:r w:rsidR="00D90195">
        <w:rPr>
          <w:rFonts w:eastAsia="Arial"/>
        </w:rPr>
        <w:t>4</w:t>
      </w:r>
      <w:r w:rsidRPr="007703B2">
        <w:rPr>
          <w:rFonts w:eastAsia="Times New Roman" w:cs="Times New Roman"/>
        </w:rPr>
        <w:tab/>
      </w:r>
      <w:r w:rsidRPr="007703B2">
        <w:rPr>
          <w:rFonts w:eastAsia="Arial"/>
        </w:rPr>
        <w:t>Abbreviations</w:t>
      </w:r>
      <w:bookmarkEnd w:id="6"/>
      <w:bookmarkEnd w:id="7"/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1939"/>
        <w:gridCol w:w="6465"/>
      </w:tblGrid>
      <w:tr w:rsidR="004A3C1C" w:rsidRPr="004A3C1C" w14:paraId="520D26C0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51938966" w14:textId="085C0427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AUC</w:t>
            </w:r>
          </w:p>
        </w:tc>
        <w:tc>
          <w:tcPr>
            <w:tcW w:w="6465" w:type="dxa"/>
            <w:vAlign w:val="center"/>
          </w:tcPr>
          <w:p w14:paraId="240AEC04" w14:textId="2ACE849A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Area Under Curve</w:t>
            </w:r>
          </w:p>
        </w:tc>
      </w:tr>
      <w:tr w:rsidR="004A3C1C" w:rsidRPr="004A3C1C" w14:paraId="7CA4149E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686543F1" w14:textId="36A3D2D5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IDA</w:t>
            </w:r>
            <w:r w:rsidR="002A16E6">
              <w:rPr>
                <w:rFonts w:ascii="Times New Roman" w:hAnsi="Times New Roman" w:cs="Times New Roman"/>
                <w:color w:val="000000"/>
                <w:sz w:val="24"/>
              </w:rPr>
              <w:t>QOWNER</w:t>
            </w:r>
          </w:p>
        </w:tc>
        <w:tc>
          <w:tcPr>
            <w:tcW w:w="6465" w:type="dxa"/>
            <w:vAlign w:val="center"/>
          </w:tcPr>
          <w:p w14:paraId="0FEC707D" w14:textId="1D6F0384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Instrument Data Analytics Database</w:t>
            </w:r>
          </w:p>
        </w:tc>
      </w:tr>
      <w:tr w:rsidR="004A3C1C" w:rsidRPr="004A3C1C" w14:paraId="52C82220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3DB7EDDB" w14:textId="7BE33C16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CMIA</w:t>
            </w:r>
          </w:p>
        </w:tc>
        <w:tc>
          <w:tcPr>
            <w:tcW w:w="6465" w:type="dxa"/>
            <w:vAlign w:val="center"/>
          </w:tcPr>
          <w:p w14:paraId="542CB928" w14:textId="25C7C151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Chemiluminescent Microparticle Immunoassay</w:t>
            </w:r>
          </w:p>
        </w:tc>
      </w:tr>
      <w:tr w:rsidR="004A3C1C" w:rsidRPr="004A3C1C" w14:paraId="49677E9F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62D2035C" w14:textId="462A0CA2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EDA</w:t>
            </w:r>
          </w:p>
        </w:tc>
        <w:tc>
          <w:tcPr>
            <w:tcW w:w="6465" w:type="dxa"/>
            <w:vAlign w:val="center"/>
          </w:tcPr>
          <w:p w14:paraId="2DD7C32E" w14:textId="0EA57699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Exploratory Data Analysis</w:t>
            </w:r>
          </w:p>
        </w:tc>
      </w:tr>
      <w:tr w:rsidR="004A3C1C" w:rsidRPr="004A3C1C" w14:paraId="2008714F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22717B78" w14:textId="758ED5DB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IA</w:t>
            </w:r>
          </w:p>
        </w:tc>
        <w:tc>
          <w:tcPr>
            <w:tcW w:w="6465" w:type="dxa"/>
            <w:vAlign w:val="center"/>
          </w:tcPr>
          <w:p w14:paraId="769A7F09" w14:textId="7260BE6A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Immunoassay</w:t>
            </w:r>
          </w:p>
        </w:tc>
      </w:tr>
      <w:tr w:rsidR="004A3C1C" w:rsidRPr="004A3C1C" w14:paraId="6FE683C0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7EEFB2E5" w14:textId="36992BE4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IDA</w:t>
            </w:r>
          </w:p>
        </w:tc>
        <w:tc>
          <w:tcPr>
            <w:tcW w:w="6465" w:type="dxa"/>
            <w:vAlign w:val="center"/>
          </w:tcPr>
          <w:p w14:paraId="4CAEFB2B" w14:textId="7BA42202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Instrument Data Analytics Database</w:t>
            </w:r>
          </w:p>
        </w:tc>
      </w:tr>
      <w:tr w:rsidR="004A3C1C" w:rsidRPr="004A3C1C" w14:paraId="6CB4376A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7239B616" w14:textId="06E6EE68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IHN</w:t>
            </w:r>
          </w:p>
        </w:tc>
        <w:tc>
          <w:tcPr>
            <w:tcW w:w="6465" w:type="dxa"/>
            <w:vAlign w:val="center"/>
          </w:tcPr>
          <w:p w14:paraId="2B0B5478" w14:textId="1F8B178F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Instrument Health Notification</w:t>
            </w:r>
          </w:p>
        </w:tc>
      </w:tr>
      <w:tr w:rsidR="00F25092" w:rsidRPr="004A3C1C" w14:paraId="766B387A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12A8593A" w14:textId="0A628C25" w:rsidR="00F25092" w:rsidRPr="004A3C1C" w:rsidRDefault="00F25092" w:rsidP="00BF17C4">
            <w:pPr>
              <w:spacing w:line="263" w:lineRule="exact"/>
              <w:ind w:left="193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ODR</w:t>
            </w:r>
          </w:p>
        </w:tc>
        <w:tc>
          <w:tcPr>
            <w:tcW w:w="6465" w:type="dxa"/>
            <w:vAlign w:val="center"/>
          </w:tcPr>
          <w:p w14:paraId="5F73BECA" w14:textId="01A7299B" w:rsidR="00F25092" w:rsidRPr="004A3C1C" w:rsidRDefault="00F25092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On-board Data Recorder</w:t>
            </w:r>
          </w:p>
        </w:tc>
      </w:tr>
      <w:tr w:rsidR="004A3C1C" w:rsidRPr="004A3C1C" w14:paraId="3B51632F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05179D52" w14:textId="2867A76E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PHM</w:t>
            </w:r>
          </w:p>
        </w:tc>
        <w:tc>
          <w:tcPr>
            <w:tcW w:w="6465" w:type="dxa"/>
            <w:vAlign w:val="center"/>
          </w:tcPr>
          <w:p w14:paraId="75FB0DE8" w14:textId="25A90678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Prognostic Health Monitoring</w:t>
            </w:r>
          </w:p>
        </w:tc>
      </w:tr>
      <w:tr w:rsidR="004A3C1C" w:rsidRPr="004A3C1C" w14:paraId="5FEA0A6A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65117700" w14:textId="5B46CB32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ROC</w:t>
            </w:r>
          </w:p>
        </w:tc>
        <w:tc>
          <w:tcPr>
            <w:tcW w:w="6465" w:type="dxa"/>
            <w:vAlign w:val="center"/>
          </w:tcPr>
          <w:p w14:paraId="6A0F16C9" w14:textId="5E310247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Receiver-Operating Characteristic</w:t>
            </w:r>
          </w:p>
        </w:tc>
      </w:tr>
      <w:tr w:rsidR="004A3C1C" w:rsidRPr="004A3C1C" w14:paraId="0E952021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6C993818" w14:textId="13019311" w:rsidR="004A3C1C" w:rsidRPr="004A3C1C" w:rsidRDefault="004A3C1C" w:rsidP="00BF17C4">
            <w:pPr>
              <w:spacing w:line="263" w:lineRule="exact"/>
              <w:ind w:left="19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RUL</w:t>
            </w:r>
          </w:p>
        </w:tc>
        <w:tc>
          <w:tcPr>
            <w:tcW w:w="6465" w:type="dxa"/>
            <w:vAlign w:val="center"/>
          </w:tcPr>
          <w:p w14:paraId="4D09DDF7" w14:textId="75F284A8" w:rsidR="004A3C1C" w:rsidRPr="004A3C1C" w:rsidRDefault="004A3C1C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C1C">
              <w:rPr>
                <w:rFonts w:ascii="Times New Roman" w:hAnsi="Times New Roman" w:cs="Times New Roman"/>
                <w:color w:val="000000"/>
                <w:sz w:val="24"/>
              </w:rPr>
              <w:t>Remaining Useful Life</w:t>
            </w:r>
          </w:p>
        </w:tc>
      </w:tr>
      <w:tr w:rsidR="009E3A27" w:rsidRPr="004A3C1C" w14:paraId="7B155F77" w14:textId="77777777" w:rsidTr="00922E9A">
        <w:trPr>
          <w:trHeight w:hRule="exact" w:val="276"/>
        </w:trPr>
        <w:tc>
          <w:tcPr>
            <w:tcW w:w="1939" w:type="dxa"/>
            <w:vAlign w:val="center"/>
          </w:tcPr>
          <w:p w14:paraId="2B547558" w14:textId="7DFC43F9" w:rsidR="009E3A27" w:rsidRPr="004A3C1C" w:rsidRDefault="009E3A27" w:rsidP="00BF17C4">
            <w:pPr>
              <w:spacing w:line="263" w:lineRule="exact"/>
              <w:ind w:left="193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RVC</w:t>
            </w:r>
          </w:p>
        </w:tc>
        <w:tc>
          <w:tcPr>
            <w:tcW w:w="6465" w:type="dxa"/>
            <w:vAlign w:val="center"/>
          </w:tcPr>
          <w:p w14:paraId="622686FC" w14:textId="51C8AF4D" w:rsidR="009E3A27" w:rsidRPr="004A3C1C" w:rsidRDefault="009E3A27" w:rsidP="00BF17C4">
            <w:pPr>
              <w:spacing w:line="263" w:lineRule="exact"/>
              <w:ind w:left="414" w:right="-2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Read Validity Check</w:t>
            </w:r>
          </w:p>
        </w:tc>
      </w:tr>
    </w:tbl>
    <w:p w14:paraId="70591BF6" w14:textId="77777777" w:rsidR="00AF3AD2" w:rsidRPr="007703B2" w:rsidRDefault="00AF3AD2" w:rsidP="009709F9">
      <w:pPr>
        <w:pStyle w:val="Heading1"/>
        <w:numPr>
          <w:ilvl w:val="0"/>
          <w:numId w:val="2"/>
        </w:numPr>
        <w:rPr>
          <w:rFonts w:cs="Arial"/>
        </w:rPr>
      </w:pPr>
      <w:bookmarkStart w:id="8" w:name="_Toc479667433"/>
      <w:r w:rsidRPr="007703B2">
        <w:rPr>
          <w:rFonts w:cs="Arial"/>
        </w:rPr>
        <w:lastRenderedPageBreak/>
        <w:t>Data</w:t>
      </w:r>
      <w:bookmarkEnd w:id="8"/>
      <w:r w:rsidRPr="007703B2">
        <w:rPr>
          <w:rFonts w:cs="Arial"/>
        </w:rPr>
        <w:t xml:space="preserve"> </w:t>
      </w:r>
    </w:p>
    <w:p w14:paraId="2592A920" w14:textId="77777777" w:rsidR="00AF3AD2" w:rsidRPr="007703B2" w:rsidRDefault="00AF3AD2" w:rsidP="00AF3AD2">
      <w:pPr>
        <w:pStyle w:val="Heading2"/>
        <w:ind w:left="720"/>
        <w:rPr>
          <w:rFonts w:cs="Arial"/>
          <w:color w:val="548DD4" w:themeColor="text2" w:themeTint="99"/>
        </w:rPr>
      </w:pPr>
      <w:bookmarkStart w:id="9" w:name="_Toc479667434"/>
      <w:r w:rsidRPr="007703B2">
        <w:rPr>
          <w:rFonts w:cs="Arial"/>
          <w:color w:val="548DD4" w:themeColor="text2" w:themeTint="99"/>
        </w:rPr>
        <w:t>3.1</w:t>
      </w:r>
      <w:r w:rsidRPr="007703B2">
        <w:rPr>
          <w:rFonts w:cs="Arial"/>
          <w:color w:val="548DD4" w:themeColor="text2" w:themeTint="99"/>
        </w:rPr>
        <w:tab/>
        <w:t>Source</w:t>
      </w:r>
      <w:bookmarkEnd w:id="9"/>
    </w:p>
    <w:p w14:paraId="066EF4BD" w14:textId="7E010A55" w:rsidR="00AF3AD2" w:rsidRDefault="00F25092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  <w:r w:rsidRPr="009E3A27">
        <w:rPr>
          <w:rFonts w:ascii="Times New Roman" w:hAnsi="Times New Roman" w:cs="Times New Roman"/>
          <w:bCs/>
          <w:iCs/>
          <w:sz w:val="24"/>
        </w:rPr>
        <w:t>T</w:t>
      </w:r>
      <w:r w:rsidR="009E3A27" w:rsidRPr="009E3A27">
        <w:rPr>
          <w:rFonts w:ascii="Times New Roman" w:hAnsi="Times New Roman" w:cs="Times New Roman"/>
          <w:bCs/>
          <w:iCs/>
          <w:sz w:val="24"/>
        </w:rPr>
        <w:t xml:space="preserve">he </w:t>
      </w:r>
      <w:r w:rsidR="00BC5F1E">
        <w:rPr>
          <w:rFonts w:ascii="Times New Roman" w:hAnsi="Times New Roman" w:cs="Times New Roman"/>
          <w:bCs/>
          <w:iCs/>
          <w:sz w:val="24"/>
        </w:rPr>
        <w:t>ALINITY i</w:t>
      </w:r>
      <w:r w:rsidR="009E3A27" w:rsidRPr="009E3A27">
        <w:rPr>
          <w:rFonts w:ascii="Times New Roman" w:hAnsi="Times New Roman" w:cs="Times New Roman"/>
          <w:bCs/>
          <w:iCs/>
          <w:sz w:val="24"/>
        </w:rPr>
        <w:t xml:space="preserve"> b</w:t>
      </w:r>
      <w:r w:rsidRPr="009E3A27">
        <w:rPr>
          <w:rFonts w:ascii="Times New Roman" w:hAnsi="Times New Roman" w:cs="Times New Roman"/>
          <w:bCs/>
          <w:iCs/>
          <w:sz w:val="24"/>
        </w:rPr>
        <w:t>ackground read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 data is collected </w:t>
      </w:r>
      <w:r w:rsidRPr="009E3A27">
        <w:rPr>
          <w:rFonts w:ascii="Times New Roman" w:hAnsi="Times New Roman" w:cs="Times New Roman"/>
          <w:bCs/>
          <w:iCs/>
          <w:sz w:val="24"/>
        </w:rPr>
        <w:t>for every replicate that makes it to the trigger and read stage of assay processing.  The data is sent to the ODR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.  The data </w:t>
      </w:r>
      <w:r w:rsidR="00125F7E">
        <w:rPr>
          <w:rFonts w:ascii="Times New Roman" w:hAnsi="Times New Roman" w:cs="Times New Roman"/>
          <w:bCs/>
          <w:iCs/>
          <w:sz w:val="24"/>
        </w:rPr>
        <w:t xml:space="preserve">goes from the ODR to the 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IDA </w:t>
      </w:r>
      <w:r w:rsidR="009C1495">
        <w:rPr>
          <w:rFonts w:ascii="Times New Roman" w:hAnsi="Times New Roman" w:cs="Times New Roman"/>
          <w:bCs/>
          <w:iCs/>
          <w:sz w:val="24"/>
        </w:rPr>
        <w:t xml:space="preserve">via the </w:t>
      </w:r>
      <w:proofErr w:type="spellStart"/>
      <w:r w:rsidR="009C1495">
        <w:rPr>
          <w:rFonts w:ascii="Times New Roman" w:hAnsi="Times New Roman" w:cs="Times New Roman"/>
          <w:bCs/>
          <w:iCs/>
          <w:sz w:val="24"/>
        </w:rPr>
        <w:t>AbbottLink</w:t>
      </w:r>
      <w:proofErr w:type="spellEnd"/>
      <w:r w:rsidR="009C1495">
        <w:rPr>
          <w:rFonts w:ascii="Times New Roman" w:hAnsi="Times New Roman" w:cs="Times New Roman"/>
          <w:bCs/>
          <w:iCs/>
          <w:sz w:val="24"/>
        </w:rPr>
        <w:t xml:space="preserve"> connection </w:t>
      </w:r>
      <w:r w:rsidR="002C4358" w:rsidRPr="009E3A27">
        <w:rPr>
          <w:rFonts w:ascii="Times New Roman" w:hAnsi="Times New Roman" w:cs="Times New Roman"/>
          <w:bCs/>
          <w:iCs/>
          <w:sz w:val="24"/>
        </w:rPr>
        <w:t xml:space="preserve">and is stored in the </w:t>
      </w:r>
      <w:r w:rsidR="00A73132" w:rsidRPr="009E3A27">
        <w:rPr>
          <w:rFonts w:ascii="Times New Roman" w:hAnsi="Times New Roman" w:cs="Times New Roman"/>
          <w:bCs/>
          <w:iCs/>
          <w:sz w:val="24"/>
        </w:rPr>
        <w:t>table:</w:t>
      </w:r>
      <w:r w:rsidR="002A16E6">
        <w:rPr>
          <w:rFonts w:ascii="Times New Roman" w:hAnsi="Times New Roman" w:cs="Times New Roman"/>
          <w:bCs/>
          <w:iCs/>
          <w:sz w:val="24"/>
        </w:rPr>
        <w:t xml:space="preserve"> IDAQOWNER.ICQ_</w:t>
      </w:r>
      <w:r w:rsidR="009E3A27" w:rsidRPr="009E3A27">
        <w:rPr>
          <w:rFonts w:ascii="Times New Roman" w:hAnsi="Times New Roman" w:cs="Times New Roman"/>
          <w:bCs/>
          <w:iCs/>
          <w:sz w:val="24"/>
        </w:rPr>
        <w:t>RESULTS</w:t>
      </w:r>
      <w:r w:rsidR="00630C61">
        <w:rPr>
          <w:rFonts w:ascii="Times New Roman" w:hAnsi="Times New Roman" w:cs="Times New Roman"/>
          <w:bCs/>
          <w:iCs/>
          <w:sz w:val="24"/>
        </w:rPr>
        <w:t>.</w:t>
      </w:r>
    </w:p>
    <w:p w14:paraId="5A969A32" w14:textId="77777777" w:rsidR="00125F7E" w:rsidRDefault="00125F7E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</w:p>
    <w:p w14:paraId="67B72CC9" w14:textId="7F74AF40" w:rsidR="00125F7E" w:rsidRDefault="00125F7E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  <w:r w:rsidRPr="00125F7E">
        <w:rPr>
          <w:rFonts w:ascii="Times New Roman" w:hAnsi="Times New Roman" w:cs="Times New Roman"/>
          <w:b/>
          <w:bCs/>
          <w:iCs/>
          <w:sz w:val="24"/>
        </w:rPr>
        <w:t>Note:  Table names and field</w:t>
      </w:r>
      <w:r w:rsidR="00BC5F1E">
        <w:rPr>
          <w:rFonts w:ascii="Times New Roman" w:hAnsi="Times New Roman" w:cs="Times New Roman"/>
          <w:b/>
          <w:bCs/>
          <w:iCs/>
          <w:sz w:val="24"/>
        </w:rPr>
        <w:t xml:space="preserve"> names</w:t>
      </w:r>
      <w:r w:rsidRPr="00125F7E">
        <w:rPr>
          <w:rFonts w:ascii="Times New Roman" w:hAnsi="Times New Roman" w:cs="Times New Roman"/>
          <w:b/>
          <w:bCs/>
          <w:iCs/>
          <w:sz w:val="24"/>
        </w:rPr>
        <w:t xml:space="preserve"> may change when data transitions to the Production IDA</w:t>
      </w:r>
      <w:r>
        <w:rPr>
          <w:rFonts w:ascii="Times New Roman" w:hAnsi="Times New Roman" w:cs="Times New Roman"/>
          <w:bCs/>
          <w:iCs/>
          <w:sz w:val="24"/>
        </w:rPr>
        <w:t>.</w:t>
      </w:r>
    </w:p>
    <w:p w14:paraId="48147404" w14:textId="77777777" w:rsidR="00630C61" w:rsidRPr="009E3A27" w:rsidRDefault="00630C61" w:rsidP="00AF3AD2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iCs/>
          <w:sz w:val="24"/>
        </w:rPr>
      </w:pPr>
    </w:p>
    <w:p w14:paraId="13C2AB05" w14:textId="46FB72B4" w:rsidR="00AF3AD2" w:rsidRPr="007703B2" w:rsidRDefault="00AF3AD2" w:rsidP="00630C61">
      <w:pPr>
        <w:pStyle w:val="Heading2"/>
        <w:spacing w:before="0"/>
        <w:ind w:left="720"/>
        <w:rPr>
          <w:rFonts w:cs="Arial"/>
          <w:color w:val="548DD4" w:themeColor="text2" w:themeTint="99"/>
        </w:rPr>
      </w:pPr>
      <w:bookmarkStart w:id="10" w:name="_Toc479667435"/>
      <w:r w:rsidRPr="007703B2">
        <w:rPr>
          <w:rFonts w:cs="Arial"/>
          <w:color w:val="548DD4" w:themeColor="text2" w:themeTint="99"/>
        </w:rPr>
        <w:t>3.2</w:t>
      </w:r>
      <w:r w:rsidRPr="007703B2">
        <w:rPr>
          <w:rFonts w:cs="Arial"/>
          <w:color w:val="548DD4" w:themeColor="text2" w:themeTint="99"/>
        </w:rPr>
        <w:tab/>
      </w:r>
      <w:r w:rsidR="002F057B">
        <w:rPr>
          <w:rFonts w:cs="Arial"/>
          <w:color w:val="548DD4" w:themeColor="text2" w:themeTint="99"/>
        </w:rPr>
        <w:t>Fields Needed</w:t>
      </w:r>
      <w:bookmarkEnd w:id="10"/>
      <w:r w:rsidR="002F057B">
        <w:rPr>
          <w:rFonts w:cs="Arial"/>
          <w:color w:val="548DD4" w:themeColor="text2" w:themeTint="99"/>
        </w:rPr>
        <w:t xml:space="preserve"> </w:t>
      </w:r>
    </w:p>
    <w:p w14:paraId="1003CBF2" w14:textId="0E578FB4" w:rsidR="009C1495" w:rsidRPr="009C1495" w:rsidRDefault="009C1495" w:rsidP="009C1495">
      <w:pPr>
        <w:widowControl/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</w:rPr>
      </w:pPr>
      <w:r w:rsidRPr="009C1495">
        <w:rPr>
          <w:rFonts w:ascii="Times New Roman" w:hAnsi="Times New Roman" w:cs="Times New Roman"/>
          <w:sz w:val="24"/>
        </w:rPr>
        <w:t xml:space="preserve">The background read is taken as a measure of ambient light noise and is subtracted from the signal (triggered) read.  Typically, </w:t>
      </w:r>
      <w:r w:rsidR="00BC5F1E">
        <w:rPr>
          <w:rFonts w:ascii="Times New Roman" w:hAnsi="Times New Roman" w:cs="Times New Roman"/>
          <w:sz w:val="24"/>
        </w:rPr>
        <w:t>ALINITY i</w:t>
      </w:r>
      <w:r w:rsidRPr="009C1495">
        <w:rPr>
          <w:rFonts w:ascii="Times New Roman" w:hAnsi="Times New Roman" w:cs="Times New Roman"/>
          <w:sz w:val="24"/>
        </w:rPr>
        <w:t xml:space="preserve"> background reads are between 10 to 500 RLUs. </w:t>
      </w:r>
    </w:p>
    <w:p w14:paraId="1EC56976" w14:textId="25A4F5D5" w:rsidR="00587D23" w:rsidRDefault="009E3A27" w:rsidP="00BD0585">
      <w:pPr>
        <w:widowControl/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Multiple Read Validity Checks (RVC) are placed on the background, signal and corrected reads.  If a background read is flag</w:t>
      </w:r>
      <w:r w:rsidR="00BC1295">
        <w:rPr>
          <w:rFonts w:ascii="Times New Roman" w:hAnsi="Times New Roman" w:cs="Times New Roman"/>
          <w:sz w:val="24"/>
        </w:rPr>
        <w:t xml:space="preserve">ged by a RVC, the AIM error </w:t>
      </w:r>
      <w:r w:rsidR="006E3B62">
        <w:rPr>
          <w:rFonts w:ascii="Times New Roman" w:hAnsi="Times New Roman" w:cs="Times New Roman"/>
          <w:sz w:val="24"/>
        </w:rPr>
        <w:t>1401</w:t>
      </w:r>
      <w:r>
        <w:rPr>
          <w:rFonts w:ascii="Times New Roman" w:hAnsi="Times New Roman" w:cs="Times New Roman"/>
          <w:sz w:val="24"/>
        </w:rPr>
        <w:t xml:space="preserve"> </w:t>
      </w:r>
      <w:r w:rsidRPr="002661DF">
        <w:rPr>
          <w:rFonts w:ascii="Times New Roman" w:hAnsi="Times New Roman" w:cs="Times New Roman"/>
          <w:sz w:val="24"/>
        </w:rPr>
        <w:t>"Unable to process test, background read failur</w:t>
      </w:r>
      <w:r>
        <w:rPr>
          <w:rFonts w:ascii="Times New Roman" w:hAnsi="Times New Roman" w:cs="Times New Roman"/>
          <w:sz w:val="24"/>
        </w:rPr>
        <w:t>e" occurs and the system will send the test</w:t>
      </w:r>
      <w:r w:rsidRPr="002661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exception and not generate a result</w:t>
      </w:r>
      <w:r w:rsidR="00BD0585">
        <w:rPr>
          <w:rFonts w:ascii="Times New Roman" w:hAnsi="Times New Roman" w:cs="Times New Roman"/>
          <w:sz w:val="24"/>
        </w:rPr>
        <w:t xml:space="preserve">.  </w:t>
      </w:r>
    </w:p>
    <w:p w14:paraId="4F23B778" w14:textId="3AD20B34" w:rsidR="00BD0585" w:rsidRDefault="00BD0585" w:rsidP="00BD0585">
      <w:pPr>
        <w:widowControl/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fields that are included in the </w:t>
      </w:r>
      <w:r w:rsidR="002A16E6">
        <w:rPr>
          <w:rFonts w:ascii="Times New Roman" w:hAnsi="Times New Roman" w:cs="Times New Roman"/>
          <w:sz w:val="24"/>
        </w:rPr>
        <w:t>ICQ</w:t>
      </w:r>
      <w:r>
        <w:rPr>
          <w:rFonts w:ascii="Times New Roman" w:hAnsi="Times New Roman" w:cs="Times New Roman"/>
          <w:sz w:val="24"/>
        </w:rPr>
        <w:t xml:space="preserve">_RESULTS table that </w:t>
      </w:r>
      <w:r w:rsidR="002F057B">
        <w:rPr>
          <w:rFonts w:ascii="Times New Roman" w:hAnsi="Times New Roman" w:cs="Times New Roman"/>
          <w:sz w:val="24"/>
        </w:rPr>
        <w:t>are needed for this PHN</w:t>
      </w:r>
      <w:r>
        <w:rPr>
          <w:rFonts w:ascii="Times New Roman" w:hAnsi="Times New Roman" w:cs="Times New Roman"/>
          <w:sz w:val="24"/>
        </w:rPr>
        <w:t xml:space="preserve"> include the following:</w:t>
      </w:r>
    </w:p>
    <w:tbl>
      <w:tblPr>
        <w:tblStyle w:val="LightList-Accent1"/>
        <w:tblW w:w="10170" w:type="dxa"/>
        <w:tblInd w:w="738" w:type="dxa"/>
        <w:tblLook w:val="04A0" w:firstRow="1" w:lastRow="0" w:firstColumn="1" w:lastColumn="0" w:noHBand="0" w:noVBand="1"/>
      </w:tblPr>
      <w:tblGrid>
        <w:gridCol w:w="3438"/>
        <w:gridCol w:w="6732"/>
      </w:tblGrid>
      <w:tr w:rsidR="00BD0585" w14:paraId="60DCA893" w14:textId="77777777" w:rsidTr="0070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7B5F6B2" w14:textId="3F6EF54D" w:rsidR="00BD0585" w:rsidRPr="00130D1B" w:rsidRDefault="00587D23" w:rsidP="00894B7F">
            <w:pPr>
              <w:widowControl/>
              <w:spacing w:after="100" w:afterAutospacing="1"/>
              <w:jc w:val="center"/>
              <w:rPr>
                <w:rFonts w:ascii="Times New Roman" w:hAnsi="Times New Roman" w:cs="Times New Roman"/>
                <w:sz w:val="24"/>
              </w:rPr>
            </w:pPr>
            <w:r w:rsidRPr="00130D1B">
              <w:rPr>
                <w:rFonts w:ascii="Times New Roman" w:hAnsi="Times New Roman" w:cs="Times New Roman"/>
                <w:sz w:val="24"/>
              </w:rPr>
              <w:t xml:space="preserve">Table </w:t>
            </w:r>
            <w:r w:rsidR="00BD0585" w:rsidRPr="00130D1B">
              <w:rPr>
                <w:rFonts w:ascii="Times New Roman" w:hAnsi="Times New Roman" w:cs="Times New Roman"/>
                <w:sz w:val="24"/>
              </w:rPr>
              <w:t>Field Name</w:t>
            </w:r>
          </w:p>
        </w:tc>
        <w:tc>
          <w:tcPr>
            <w:tcW w:w="6732" w:type="dxa"/>
          </w:tcPr>
          <w:p w14:paraId="0AC5C9D5" w14:textId="6D981689" w:rsidR="00BD0585" w:rsidRPr="00130D1B" w:rsidRDefault="00BD0585" w:rsidP="00894B7F">
            <w:pPr>
              <w:widowControl/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30D1B">
              <w:rPr>
                <w:rFonts w:ascii="Times New Roman" w:hAnsi="Times New Roman" w:cs="Times New Roman"/>
                <w:sz w:val="24"/>
              </w:rPr>
              <w:t>Definition</w:t>
            </w:r>
          </w:p>
        </w:tc>
      </w:tr>
      <w:tr w:rsidR="00081124" w14:paraId="1A64F481" w14:textId="77777777" w:rsidTr="0070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5E876FBC" w14:textId="7CF8AA6A" w:rsidR="00081124" w:rsidRDefault="002A16E6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MODULESN</w:t>
            </w:r>
          </w:p>
        </w:tc>
        <w:tc>
          <w:tcPr>
            <w:tcW w:w="6732" w:type="dxa"/>
          </w:tcPr>
          <w:p w14:paraId="0CD67576" w14:textId="2A78FF2A" w:rsidR="00081124" w:rsidRDefault="002A16E6" w:rsidP="00BD0585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Instrument Serial Number</w:t>
            </w:r>
            <w:r w:rsidR="00081124">
              <w:rPr>
                <w:rFonts w:ascii="Times New Roman" w:hAnsi="Times New Roman" w:cs="Times New Roman"/>
                <w:sz w:val="24"/>
              </w:rPr>
              <w:t xml:space="preserve"> Identifier</w:t>
            </w:r>
          </w:p>
        </w:tc>
      </w:tr>
      <w:tr w:rsidR="00081124" w14:paraId="21447BC9" w14:textId="77777777" w:rsidTr="0070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2142EFC6" w14:textId="09157F41" w:rsidR="00081124" w:rsidRDefault="002A16E6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LOGDATE_LOCAL</w:t>
            </w:r>
          </w:p>
        </w:tc>
        <w:tc>
          <w:tcPr>
            <w:tcW w:w="6732" w:type="dxa"/>
          </w:tcPr>
          <w:p w14:paraId="1FF55181" w14:textId="18BFA8D9" w:rsidR="00081124" w:rsidRDefault="002A16E6" w:rsidP="00BD0585">
            <w:pPr>
              <w:widowControl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Instrument Local </w:t>
            </w:r>
            <w:r w:rsidR="00081124">
              <w:rPr>
                <w:rFonts w:ascii="Times New Roman" w:hAnsi="Times New Roman" w:cs="Times New Roman"/>
                <w:sz w:val="24"/>
              </w:rPr>
              <w:t>Date and Time Stamp</w:t>
            </w:r>
          </w:p>
        </w:tc>
      </w:tr>
      <w:tr w:rsidR="00BD0585" w14:paraId="4DD8372A" w14:textId="77777777" w:rsidTr="0070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3E9E1556" w14:textId="7AC9323A" w:rsidR="00BD0585" w:rsidRDefault="00BD0585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TESTID</w:t>
            </w:r>
          </w:p>
        </w:tc>
        <w:tc>
          <w:tcPr>
            <w:tcW w:w="6732" w:type="dxa"/>
          </w:tcPr>
          <w:p w14:paraId="51A54F18" w14:textId="07CEB44F" w:rsidR="00BD0585" w:rsidRDefault="00587D23" w:rsidP="00BD0585">
            <w:pPr>
              <w:widowControl/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Number that identifies the test replicate (or RV) that data is being reported for. </w:t>
            </w:r>
            <w:r w:rsidR="00EB278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Also known as “Replicate ID”</w:t>
            </w:r>
          </w:p>
        </w:tc>
      </w:tr>
      <w:tr w:rsidR="00BD0585" w14:paraId="3BC843A7" w14:textId="77777777" w:rsidTr="007066B7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14:paraId="0C3BF216" w14:textId="7EA58884" w:rsidR="00BD0585" w:rsidRDefault="00BD0585" w:rsidP="00BD0585">
            <w:pPr>
              <w:widowControl/>
              <w:spacing w:after="100" w:afterAutospacing="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INTEGRATEDDARKCOUNT</w:t>
            </w:r>
          </w:p>
        </w:tc>
        <w:tc>
          <w:tcPr>
            <w:tcW w:w="6732" w:type="dxa"/>
          </w:tcPr>
          <w:p w14:paraId="72C2F1EF" w14:textId="4317EC3D" w:rsidR="003A41BF" w:rsidRDefault="00587D23" w:rsidP="00BD0585">
            <w:pPr>
              <w:widowControl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 of the 30 background sub-reads for each Test ID</w:t>
            </w:r>
          </w:p>
        </w:tc>
      </w:tr>
    </w:tbl>
    <w:p w14:paraId="7DD01345" w14:textId="77777777" w:rsidR="00AF3AD2" w:rsidRPr="007703B2" w:rsidRDefault="00AF3AD2" w:rsidP="009709F9">
      <w:pPr>
        <w:pStyle w:val="Heading1"/>
        <w:numPr>
          <w:ilvl w:val="0"/>
          <w:numId w:val="2"/>
        </w:numPr>
        <w:rPr>
          <w:rFonts w:eastAsia="Arial" w:cs="Arial"/>
          <w:u w:color="000000"/>
        </w:rPr>
      </w:pPr>
      <w:bookmarkStart w:id="11" w:name="_Toc479667436"/>
      <w:r w:rsidRPr="007703B2">
        <w:rPr>
          <w:rFonts w:eastAsia="Arial" w:cs="Arial"/>
          <w:u w:color="000000"/>
        </w:rPr>
        <w:t>Alert</w:t>
      </w:r>
      <w:bookmarkEnd w:id="11"/>
    </w:p>
    <w:p w14:paraId="2E7E510B" w14:textId="0600AB30" w:rsidR="00AF3AD2" w:rsidRDefault="002F057B" w:rsidP="00AF3AD2">
      <w:pPr>
        <w:pStyle w:val="Heading2"/>
        <w:ind w:firstLine="720"/>
        <w:rPr>
          <w:rFonts w:cs="Arial"/>
          <w:color w:val="548DD4" w:themeColor="text2" w:themeTint="99"/>
        </w:rPr>
      </w:pPr>
      <w:bookmarkStart w:id="12" w:name="_Toc479667437"/>
      <w:r>
        <w:rPr>
          <w:rFonts w:cs="Arial"/>
          <w:color w:val="548DD4" w:themeColor="text2" w:themeTint="99"/>
        </w:rPr>
        <w:t>4.1</w:t>
      </w:r>
      <w:r w:rsidR="00AF3AD2" w:rsidRPr="007703B2">
        <w:rPr>
          <w:rFonts w:cs="Arial"/>
          <w:color w:val="548DD4" w:themeColor="text2" w:themeTint="99"/>
        </w:rPr>
        <w:tab/>
      </w:r>
      <w:r w:rsidR="00D96EAA">
        <w:rPr>
          <w:rFonts w:cs="Arial"/>
          <w:color w:val="548DD4" w:themeColor="text2" w:themeTint="99"/>
        </w:rPr>
        <w:t xml:space="preserve">Calculation for </w:t>
      </w:r>
      <w:r w:rsidR="00BC5F1E">
        <w:rPr>
          <w:rFonts w:cs="Arial"/>
          <w:color w:val="548DD4" w:themeColor="text2" w:themeTint="99"/>
        </w:rPr>
        <w:t xml:space="preserve">ALINITY </w:t>
      </w:r>
      <w:proofErr w:type="gramStart"/>
      <w:r w:rsidR="00BC5F1E">
        <w:rPr>
          <w:rFonts w:cs="Arial"/>
          <w:color w:val="548DD4" w:themeColor="text2" w:themeTint="99"/>
        </w:rPr>
        <w:t xml:space="preserve">I </w:t>
      </w:r>
      <w:r w:rsidR="00D96EAA">
        <w:rPr>
          <w:rFonts w:cs="Arial"/>
          <w:color w:val="548DD4" w:themeColor="text2" w:themeTint="99"/>
        </w:rPr>
        <w:t xml:space="preserve"> Optics</w:t>
      </w:r>
      <w:proofErr w:type="gramEnd"/>
      <w:r w:rsidR="00D96EAA">
        <w:rPr>
          <w:rFonts w:cs="Arial"/>
          <w:color w:val="548DD4" w:themeColor="text2" w:themeTint="99"/>
        </w:rPr>
        <w:t xml:space="preserve"> Dark Counts PHN Flag</w:t>
      </w:r>
      <w:bookmarkEnd w:id="12"/>
    </w:p>
    <w:p w14:paraId="750C08D0" w14:textId="5C84F75E" w:rsidR="00715A5E" w:rsidRPr="001F5008" w:rsidRDefault="00715A5E" w:rsidP="00CD561C">
      <w:pPr>
        <w:ind w:left="720"/>
        <w:rPr>
          <w:rFonts w:ascii="Times New Roman" w:hAnsi="Times New Roman" w:cs="Times New Roman"/>
          <w:sz w:val="24"/>
        </w:rPr>
      </w:pPr>
    </w:p>
    <w:tbl>
      <w:tblPr>
        <w:tblStyle w:val="MediumShading1-Accent1"/>
        <w:tblW w:w="0" w:type="auto"/>
        <w:tblInd w:w="828" w:type="dxa"/>
        <w:tblLook w:val="0420" w:firstRow="1" w:lastRow="0" w:firstColumn="0" w:lastColumn="0" w:noHBand="0" w:noVBand="1"/>
      </w:tblPr>
      <w:tblGrid>
        <w:gridCol w:w="2250"/>
        <w:gridCol w:w="2970"/>
        <w:gridCol w:w="2610"/>
      </w:tblGrid>
      <w:tr w:rsidR="00676873" w:rsidRPr="00252C6F" w14:paraId="20E36405" w14:textId="40D1B900" w:rsidTr="00D9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2250" w:type="dxa"/>
          </w:tcPr>
          <w:p w14:paraId="1703AEAF" w14:textId="031C037A" w:rsidR="00676873" w:rsidRPr="00252C6F" w:rsidRDefault="00676873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</w:pPr>
            <w:r w:rsidRPr="00252C6F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>Model</w:t>
            </w:r>
          </w:p>
        </w:tc>
        <w:tc>
          <w:tcPr>
            <w:tcW w:w="2970" w:type="dxa"/>
            <w:hideMark/>
          </w:tcPr>
          <w:p w14:paraId="03513D21" w14:textId="77777777" w:rsidR="00676873" w:rsidRPr="00252C6F" w:rsidRDefault="00676873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</w:pPr>
            <w:r w:rsidRPr="00252C6F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>Score</w:t>
            </w:r>
          </w:p>
        </w:tc>
        <w:tc>
          <w:tcPr>
            <w:tcW w:w="2610" w:type="dxa"/>
            <w:hideMark/>
          </w:tcPr>
          <w:p w14:paraId="26D49D09" w14:textId="5EF532A7" w:rsidR="00676873" w:rsidRPr="00252C6F" w:rsidRDefault="00676873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</w:pPr>
            <w:r w:rsidRPr="00252C6F">
              <w:rPr>
                <w:rFonts w:ascii="Times New Roman" w:eastAsia="Arial" w:hAnsi="Times New Roman" w:cs="Times New Roman"/>
                <w:position w:val="-1"/>
                <w:sz w:val="24"/>
                <w:szCs w:val="24"/>
              </w:rPr>
              <w:t>Threshold</w:t>
            </w:r>
          </w:p>
        </w:tc>
      </w:tr>
      <w:tr w:rsidR="00676873" w:rsidRPr="00252C6F" w14:paraId="25815FB3" w14:textId="18D71993" w:rsidTr="00D9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250" w:type="dxa"/>
          </w:tcPr>
          <w:p w14:paraId="4E80E3EA" w14:textId="691BF828" w:rsidR="00676873" w:rsidRPr="00252C6F" w:rsidRDefault="00D96EAA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Partition</w:t>
            </w:r>
          </w:p>
        </w:tc>
        <w:tc>
          <w:tcPr>
            <w:tcW w:w="2970" w:type="dxa"/>
          </w:tcPr>
          <w:p w14:paraId="41B46884" w14:textId="668ADDA2" w:rsidR="00676873" w:rsidRPr="00252C6F" w:rsidRDefault="00D96EAA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  <w:t>Flag or No Flag</w:t>
            </w:r>
          </w:p>
        </w:tc>
        <w:tc>
          <w:tcPr>
            <w:tcW w:w="2610" w:type="dxa"/>
          </w:tcPr>
          <w:p w14:paraId="2D146586" w14:textId="0E7219EA" w:rsidR="00676873" w:rsidRPr="00252C6F" w:rsidRDefault="00D96EAA" w:rsidP="00BF17C4">
            <w:pPr>
              <w:spacing w:before="29" w:line="271" w:lineRule="exact"/>
              <w:ind w:right="-20"/>
              <w:jc w:val="center"/>
              <w:rPr>
                <w:rFonts w:ascii="Times New Roman" w:eastAsia="Arial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N/A</w:t>
            </w:r>
          </w:p>
        </w:tc>
      </w:tr>
    </w:tbl>
    <w:p w14:paraId="4C526FE8" w14:textId="77777777" w:rsidR="00AF3AD2" w:rsidRDefault="00AF3AD2" w:rsidP="00AF3AD2">
      <w:pPr>
        <w:spacing w:before="29" w:after="0" w:line="271" w:lineRule="exact"/>
        <w:ind w:right="-20"/>
        <w:rPr>
          <w:rFonts w:asciiTheme="majorHAnsi" w:eastAsia="Arial" w:hAnsiTheme="majorHAnsi" w:cs="Arial"/>
          <w:sz w:val="24"/>
          <w:szCs w:val="24"/>
        </w:rPr>
      </w:pPr>
    </w:p>
    <w:p w14:paraId="77E08D0B" w14:textId="51BB27EF" w:rsidR="00D96EAA" w:rsidRDefault="00D96EAA" w:rsidP="00D96EAA">
      <w:pPr>
        <w:ind w:left="720"/>
        <w:rPr>
          <w:rFonts w:asciiTheme="majorHAnsi" w:eastAsia="Arial" w:hAnsiTheme="majorHAnsi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If(!Is Missing(:INTEGRATEDDARKCOUNT Max) &amp; :INTEGRATEDDARKCOUNT Max ≥ 543,  If(!Is Missing(:INTEGRATEDDARKCOUNT Std Dev) &amp; :INTEGRATEDDARKCOUNT Std Dev ≥ 110,  Flag,  No Flag),  No Flag)</m:t>
          </m:r>
        </m:oMath>
      </m:oMathPara>
    </w:p>
    <w:p w14:paraId="378DFA7F" w14:textId="5068C7CE" w:rsidR="003A651C" w:rsidRDefault="002A16E6" w:rsidP="002A16E6">
      <w:pPr>
        <w:widowControl/>
        <w:ind w:left="720"/>
        <w:rPr>
          <w:rFonts w:asciiTheme="majorHAnsi" w:eastAsia="Arial" w:hAnsiTheme="majorHAnsi" w:cs="Arial"/>
          <w:sz w:val="24"/>
          <w:szCs w:val="24"/>
        </w:rPr>
      </w:pPr>
      <w:r w:rsidRPr="002A16E6">
        <w:rPr>
          <w:rFonts w:asciiTheme="majorHAnsi" w:eastAsia="Arial" w:hAnsiTheme="majorHAnsi" w:cs="Arial"/>
          <w:b/>
          <w:sz w:val="24"/>
          <w:szCs w:val="24"/>
        </w:rPr>
        <w:t>Note:</w:t>
      </w:r>
      <w:r>
        <w:rPr>
          <w:rFonts w:asciiTheme="majorHAnsi" w:eastAsia="Arial" w:hAnsiTheme="majorHAnsi" w:cs="Arial"/>
          <w:sz w:val="24"/>
          <w:szCs w:val="24"/>
        </w:rPr>
        <w:t xml:space="preserve">  This algorithm is based on prototype data and should be evaluated periodically for field performance and re-optimized when necessary.</w:t>
      </w:r>
      <w:r w:rsidR="003A651C">
        <w:rPr>
          <w:rFonts w:asciiTheme="majorHAnsi" w:eastAsia="Arial" w:hAnsiTheme="majorHAnsi" w:cs="Arial"/>
          <w:sz w:val="24"/>
          <w:szCs w:val="24"/>
        </w:rPr>
        <w:br w:type="page"/>
      </w:r>
    </w:p>
    <w:p w14:paraId="119C067A" w14:textId="5F4E8304" w:rsidR="00AF3AD2" w:rsidRPr="007703B2" w:rsidRDefault="002F057B" w:rsidP="00AF3AD2">
      <w:pPr>
        <w:pStyle w:val="Heading2"/>
        <w:ind w:left="720"/>
        <w:rPr>
          <w:rFonts w:cs="Arial"/>
          <w:color w:val="548DD4" w:themeColor="text2" w:themeTint="99"/>
        </w:rPr>
      </w:pPr>
      <w:bookmarkStart w:id="13" w:name="_Toc479667438"/>
      <w:r>
        <w:rPr>
          <w:rFonts w:cs="Arial"/>
          <w:color w:val="548DD4" w:themeColor="text2" w:themeTint="99"/>
        </w:rPr>
        <w:lastRenderedPageBreak/>
        <w:t>4.2</w:t>
      </w:r>
      <w:r w:rsidR="00AF3AD2" w:rsidRPr="007703B2">
        <w:rPr>
          <w:rFonts w:cs="Arial"/>
          <w:color w:val="548DD4" w:themeColor="text2" w:themeTint="99"/>
        </w:rPr>
        <w:tab/>
        <w:t>Root Cause</w:t>
      </w:r>
      <w:bookmarkEnd w:id="13"/>
    </w:p>
    <w:p w14:paraId="061A266C" w14:textId="522649A3" w:rsidR="00AF3AD2" w:rsidRPr="007703B2" w:rsidRDefault="00BC5F1E" w:rsidP="00AF3AD2">
      <w:pPr>
        <w:ind w:left="720"/>
        <w:rPr>
          <w:rFonts w:asciiTheme="majorHAnsi" w:hAnsiTheme="majorHAnsi" w:cs="Arial"/>
          <w:sz w:val="24"/>
        </w:rPr>
      </w:pPr>
      <w:r w:rsidRPr="00894B7F">
        <w:rPr>
          <w:rFonts w:ascii="Times New Roman" w:hAnsi="Times New Roman" w:cs="Times New Roman"/>
          <w:sz w:val="24"/>
        </w:rPr>
        <w:t>Salt build up or corrosion from fluidics leaking into the process path such as buffer from the Wash Zone manifolds or valves, leaks from the Pre-Trigger/Trigger manifold or valves, Pre-trigger/Trigger inversion, defective optics assemblies, prolonged exposure to ambient light (from loos</w:t>
      </w:r>
      <w:r>
        <w:rPr>
          <w:rFonts w:ascii="Times New Roman" w:hAnsi="Times New Roman" w:cs="Times New Roman"/>
          <w:sz w:val="24"/>
        </w:rPr>
        <w:t>e covers, cracks in shutter</w:t>
      </w:r>
      <w:r w:rsidRPr="00894B7F">
        <w:rPr>
          <w:rFonts w:ascii="Times New Roman" w:hAnsi="Times New Roman" w:cs="Times New Roman"/>
          <w:sz w:val="24"/>
        </w:rPr>
        <w:t>), shutter movement problems, and wash buffer made incorrectly are amongst the common causes of raised Background/Dark counts</w:t>
      </w:r>
    </w:p>
    <w:p w14:paraId="3440B6EE" w14:textId="40E5602B" w:rsidR="00AF3AD2" w:rsidRPr="007703B2" w:rsidRDefault="002F057B" w:rsidP="00AF3AD2">
      <w:pPr>
        <w:pStyle w:val="Heading2"/>
        <w:ind w:firstLine="720"/>
        <w:rPr>
          <w:rFonts w:cs="Arial"/>
          <w:color w:val="548DD4" w:themeColor="text2" w:themeTint="99"/>
        </w:rPr>
      </w:pPr>
      <w:bookmarkStart w:id="14" w:name="_Toc479667439"/>
      <w:r>
        <w:rPr>
          <w:rFonts w:cs="Arial"/>
          <w:color w:val="548DD4" w:themeColor="text2" w:themeTint="99"/>
        </w:rPr>
        <w:t>4.3</w:t>
      </w:r>
      <w:r w:rsidR="00AF3AD2" w:rsidRPr="007703B2">
        <w:rPr>
          <w:rFonts w:cs="Arial"/>
          <w:color w:val="548DD4" w:themeColor="text2" w:themeTint="99"/>
        </w:rPr>
        <w:tab/>
        <w:t>Recommended Action</w:t>
      </w:r>
      <w:bookmarkEnd w:id="14"/>
      <w:r w:rsidR="00AF3AD2" w:rsidRPr="007703B2">
        <w:rPr>
          <w:rFonts w:cs="Arial"/>
          <w:color w:val="548DD4" w:themeColor="text2" w:themeTint="99"/>
        </w:rPr>
        <w:t xml:space="preserve"> </w:t>
      </w:r>
    </w:p>
    <w:p w14:paraId="24DA9435" w14:textId="3AA50BEE" w:rsidR="00894B7F" w:rsidRDefault="00894B7F" w:rsidP="00894B7F">
      <w:pPr>
        <w:ind w:left="720"/>
        <w:rPr>
          <w:color w:val="1F497D"/>
        </w:rPr>
      </w:pPr>
      <w:r w:rsidRPr="00575B79">
        <w:rPr>
          <w:rFonts w:ascii="Times New Roman" w:hAnsi="Times New Roman" w:cs="Times New Roman"/>
          <w:sz w:val="24"/>
        </w:rPr>
        <w:t xml:space="preserve">Troubleshoot </w:t>
      </w:r>
      <w:r>
        <w:rPr>
          <w:rFonts w:ascii="Times New Roman" w:hAnsi="Times New Roman" w:cs="Times New Roman"/>
          <w:sz w:val="24"/>
        </w:rPr>
        <w:t xml:space="preserve">Error: </w:t>
      </w:r>
      <w:r w:rsidR="002F057B">
        <w:rPr>
          <w:rFonts w:ascii="Times New Roman" w:hAnsi="Times New Roman" w:cs="Times New Roman"/>
          <w:sz w:val="24"/>
        </w:rPr>
        <w:t>1401</w:t>
      </w:r>
      <w:r w:rsidR="00CE1C8D">
        <w:rPr>
          <w:rFonts w:ascii="Times New Roman" w:hAnsi="Times New Roman" w:cs="Times New Roman"/>
          <w:sz w:val="24"/>
        </w:rPr>
        <w:t xml:space="preserve"> </w:t>
      </w:r>
      <w:r w:rsidRPr="00642717">
        <w:rPr>
          <w:rFonts w:ascii="Times New Roman" w:hAnsi="Times New Roman" w:cs="Times New Roman"/>
          <w:sz w:val="24"/>
        </w:rPr>
        <w:t>unable to proces</w:t>
      </w:r>
      <w:r>
        <w:rPr>
          <w:rFonts w:ascii="Times New Roman" w:hAnsi="Times New Roman" w:cs="Times New Roman"/>
          <w:sz w:val="24"/>
        </w:rPr>
        <w:t xml:space="preserve">s test, background read failure </w:t>
      </w:r>
      <w:r w:rsidRPr="00575B79">
        <w:rPr>
          <w:rFonts w:ascii="Times New Roman" w:hAnsi="Times New Roman" w:cs="Times New Roman"/>
          <w:sz w:val="24"/>
        </w:rPr>
        <w:t xml:space="preserve">(Refer to </w:t>
      </w:r>
      <w:r>
        <w:rPr>
          <w:rFonts w:ascii="Times New Roman" w:hAnsi="Times New Roman" w:cs="Times New Roman"/>
          <w:sz w:val="24"/>
        </w:rPr>
        <w:t xml:space="preserve">Knowledge Management Articles and </w:t>
      </w:r>
      <w:r w:rsidR="00BC5F1E">
        <w:rPr>
          <w:rFonts w:ascii="Times New Roman" w:hAnsi="Times New Roman" w:cs="Times New Roman"/>
          <w:sz w:val="24"/>
        </w:rPr>
        <w:t>ALINITY i</w:t>
      </w:r>
      <w:r w:rsidRPr="00575B79">
        <w:rPr>
          <w:rFonts w:ascii="Times New Roman" w:hAnsi="Times New Roman" w:cs="Times New Roman"/>
          <w:sz w:val="24"/>
        </w:rPr>
        <w:t xml:space="preserve"> Service &amp; Support Manual)</w:t>
      </w:r>
      <w:r>
        <w:rPr>
          <w:rFonts w:ascii="Times New Roman" w:hAnsi="Times New Roman" w:cs="Times New Roman"/>
          <w:sz w:val="24"/>
        </w:rPr>
        <w:t xml:space="preserve">. </w:t>
      </w:r>
      <w:r w:rsidRPr="00BC5DA6">
        <w:rPr>
          <w:rFonts w:ascii="Times New Roman" w:hAnsi="Times New Roman" w:cs="Times New Roman"/>
          <w:sz w:val="24"/>
        </w:rPr>
        <w:t>General cleaning</w:t>
      </w:r>
      <w:r>
        <w:rPr>
          <w:rFonts w:ascii="Times New Roman" w:hAnsi="Times New Roman" w:cs="Times New Roman"/>
          <w:sz w:val="24"/>
        </w:rPr>
        <w:t xml:space="preserve"> of the Process Path</w:t>
      </w:r>
      <w:r w:rsidRPr="00BC5DA6">
        <w:rPr>
          <w:rFonts w:ascii="Times New Roman" w:hAnsi="Times New Roman" w:cs="Times New Roman"/>
          <w:sz w:val="24"/>
        </w:rPr>
        <w:t>, looking for signs of salt buildup due to leaks and drip</w:t>
      </w:r>
      <w:r>
        <w:rPr>
          <w:rFonts w:ascii="Times New Roman" w:hAnsi="Times New Roman" w:cs="Times New Roman"/>
          <w:sz w:val="24"/>
        </w:rPr>
        <w:t>s, check optics</w:t>
      </w:r>
      <w:r w:rsidRPr="00BC5DA6">
        <w:rPr>
          <w:rFonts w:ascii="Times New Roman" w:hAnsi="Times New Roman" w:cs="Times New Roman"/>
          <w:sz w:val="24"/>
        </w:rPr>
        <w:t>.</w:t>
      </w:r>
      <w:r>
        <w:rPr>
          <w:color w:val="1F497D"/>
        </w:rPr>
        <w:t xml:space="preserve"> </w:t>
      </w:r>
    </w:p>
    <w:p w14:paraId="45B3FEB3" w14:textId="573C12C5" w:rsidR="00AF3AD2" w:rsidRPr="007703B2" w:rsidRDefault="00A374C4" w:rsidP="009709F9">
      <w:pPr>
        <w:pStyle w:val="Heading1"/>
        <w:numPr>
          <w:ilvl w:val="0"/>
          <w:numId w:val="2"/>
        </w:numPr>
        <w:rPr>
          <w:rFonts w:eastAsia="Arial" w:cs="Arial"/>
          <w:u w:color="000000"/>
        </w:rPr>
      </w:pPr>
      <w:bookmarkStart w:id="15" w:name="_Toc479667440"/>
      <w:r>
        <w:rPr>
          <w:rFonts w:eastAsia="Arial" w:cs="Arial"/>
          <w:u w:color="000000"/>
        </w:rPr>
        <w:t xml:space="preserve">Methods and </w:t>
      </w:r>
      <w:r w:rsidR="00AF3AD2" w:rsidRPr="007703B2">
        <w:rPr>
          <w:rFonts w:eastAsia="Arial" w:cs="Arial"/>
          <w:u w:color="000000"/>
        </w:rPr>
        <w:t>Supporting Evidence</w:t>
      </w:r>
      <w:bookmarkEnd w:id="15"/>
    </w:p>
    <w:p w14:paraId="13E1752D" w14:textId="4205E15E" w:rsidR="00FE774C" w:rsidRPr="00410DBE" w:rsidRDefault="00AF3AD2" w:rsidP="00410DBE">
      <w:pPr>
        <w:pStyle w:val="Heading2"/>
        <w:ind w:left="720"/>
        <w:rPr>
          <w:rFonts w:cs="Arial"/>
        </w:rPr>
      </w:pPr>
      <w:bookmarkStart w:id="16" w:name="_Toc479667441"/>
      <w:r w:rsidRPr="007703B2">
        <w:rPr>
          <w:rFonts w:cs="Arial"/>
        </w:rPr>
        <w:t>5.1</w:t>
      </w:r>
      <w:r w:rsidRPr="007703B2">
        <w:rPr>
          <w:rFonts w:cs="Arial"/>
        </w:rPr>
        <w:tab/>
      </w:r>
      <w:bookmarkStart w:id="17" w:name="_Toc443885598"/>
      <w:r w:rsidR="00A374C4">
        <w:t>Acquisition</w:t>
      </w:r>
      <w:r w:rsidR="00FE774C">
        <w:t xml:space="preserve"> of </w:t>
      </w:r>
      <w:bookmarkEnd w:id="17"/>
      <w:r w:rsidR="00BC5F1E">
        <w:t>ALINITY i</w:t>
      </w:r>
      <w:r w:rsidR="00A374C4">
        <w:t xml:space="preserve"> </w:t>
      </w:r>
      <w:r w:rsidR="00983335">
        <w:t>Background Read Data</w:t>
      </w:r>
      <w:bookmarkEnd w:id="16"/>
    </w:p>
    <w:p w14:paraId="797A8FF6" w14:textId="27745BA0" w:rsidR="00D13B81" w:rsidRDefault="00983335" w:rsidP="00983335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983335">
        <w:rPr>
          <w:rFonts w:ascii="Times New Roman" w:hAnsi="Times New Roman" w:cs="Times New Roman"/>
          <w:sz w:val="24"/>
        </w:rPr>
        <w:t xml:space="preserve">Data was queried </w:t>
      </w:r>
      <w:r>
        <w:rPr>
          <w:rFonts w:ascii="Times New Roman" w:hAnsi="Times New Roman" w:cs="Times New Roman"/>
          <w:sz w:val="24"/>
        </w:rPr>
        <w:t xml:space="preserve">from the </w:t>
      </w:r>
      <w:r w:rsidRPr="009E3A27">
        <w:rPr>
          <w:rFonts w:ascii="Times New Roman" w:hAnsi="Times New Roman" w:cs="Times New Roman"/>
          <w:bCs/>
          <w:iCs/>
          <w:sz w:val="24"/>
        </w:rPr>
        <w:t xml:space="preserve">BSQD1I IDA </w:t>
      </w:r>
      <w:r>
        <w:rPr>
          <w:rFonts w:ascii="Times New Roman" w:hAnsi="Times New Roman" w:cs="Times New Roman"/>
          <w:bCs/>
          <w:iCs/>
          <w:sz w:val="24"/>
        </w:rPr>
        <w:t xml:space="preserve">database table </w:t>
      </w:r>
      <w:r w:rsidRPr="009E3A27">
        <w:rPr>
          <w:rFonts w:ascii="Times New Roman" w:hAnsi="Times New Roman" w:cs="Times New Roman"/>
          <w:bCs/>
          <w:iCs/>
          <w:sz w:val="24"/>
        </w:rPr>
        <w:t>ODR_RESULTS</w:t>
      </w:r>
      <w:r w:rsidR="00BC5F1E">
        <w:rPr>
          <w:rFonts w:ascii="Times New Roman" w:hAnsi="Times New Roman" w:cs="Times New Roman"/>
          <w:bCs/>
          <w:iCs/>
          <w:sz w:val="24"/>
        </w:rPr>
        <w:t>ICQ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="002F057B">
        <w:rPr>
          <w:rFonts w:ascii="Times New Roman" w:hAnsi="Times New Roman" w:cs="Times New Roman"/>
          <w:sz w:val="24"/>
        </w:rPr>
        <w:t>from 11/1/2016 – 2/15/2017</w:t>
      </w:r>
      <w:r>
        <w:rPr>
          <w:rFonts w:ascii="Times New Roman" w:hAnsi="Times New Roman" w:cs="Times New Roman"/>
          <w:sz w:val="24"/>
        </w:rPr>
        <w:t xml:space="preserve">.  </w:t>
      </w:r>
      <w:r w:rsidR="002F057B">
        <w:rPr>
          <w:rFonts w:ascii="Times New Roman" w:hAnsi="Times New Roman" w:cs="Times New Roman"/>
          <w:sz w:val="24"/>
        </w:rPr>
        <w:t>Any day with &lt;10</w:t>
      </w:r>
      <w:r w:rsidRPr="00983335">
        <w:rPr>
          <w:rFonts w:ascii="Times New Roman" w:hAnsi="Times New Roman" w:cs="Times New Roman"/>
          <w:sz w:val="24"/>
        </w:rPr>
        <w:t xml:space="preserve"> replicates with </w:t>
      </w:r>
      <w:r w:rsidR="002F057B">
        <w:rPr>
          <w:rFonts w:ascii="Times New Roman" w:hAnsi="Times New Roman" w:cs="Times New Roman"/>
          <w:sz w:val="24"/>
        </w:rPr>
        <w:t>integrated dark counts</w:t>
      </w:r>
      <w:r w:rsidRPr="00983335">
        <w:rPr>
          <w:rFonts w:ascii="Times New Roman" w:hAnsi="Times New Roman" w:cs="Times New Roman"/>
          <w:sz w:val="24"/>
        </w:rPr>
        <w:t xml:space="preserve"> was excluded due to insufficient data.</w:t>
      </w:r>
      <w:r w:rsidR="002F057B">
        <w:rPr>
          <w:rFonts w:ascii="Times New Roman" w:hAnsi="Times New Roman" w:cs="Times New Roman"/>
          <w:bCs/>
          <w:iCs/>
          <w:sz w:val="24"/>
        </w:rPr>
        <w:t xml:space="preserve"> </w:t>
      </w:r>
      <w:r w:rsidR="002F057B">
        <w:rPr>
          <w:rFonts w:ascii="Times New Roman" w:hAnsi="Times New Roman" w:cs="Times New Roman"/>
          <w:sz w:val="24"/>
        </w:rPr>
        <w:t>This resulted in data from 67</w:t>
      </w:r>
      <w:r w:rsidR="00D13B81">
        <w:rPr>
          <w:rFonts w:ascii="Times New Roman" w:hAnsi="Times New Roman" w:cs="Times New Roman"/>
          <w:sz w:val="24"/>
        </w:rPr>
        <w:t xml:space="preserve"> distinct </w:t>
      </w:r>
      <w:r w:rsidR="00BC5F1E">
        <w:rPr>
          <w:rFonts w:ascii="Times New Roman" w:hAnsi="Times New Roman" w:cs="Times New Roman"/>
          <w:sz w:val="24"/>
        </w:rPr>
        <w:t xml:space="preserve">ALINITY i </w:t>
      </w:r>
      <w:r w:rsidR="00D13B81">
        <w:rPr>
          <w:rFonts w:ascii="Times New Roman" w:hAnsi="Times New Roman" w:cs="Times New Roman"/>
          <w:sz w:val="24"/>
        </w:rPr>
        <w:t xml:space="preserve">Verification Prototype (VP) </w:t>
      </w:r>
      <w:r w:rsidR="002F057B">
        <w:rPr>
          <w:rFonts w:ascii="Times New Roman" w:hAnsi="Times New Roman" w:cs="Times New Roman"/>
          <w:sz w:val="24"/>
        </w:rPr>
        <w:t xml:space="preserve">and Manufacturing Prototype (MP) </w:t>
      </w:r>
      <w:r w:rsidR="00D13B81">
        <w:rPr>
          <w:rFonts w:ascii="Times New Roman" w:hAnsi="Times New Roman" w:cs="Times New Roman"/>
          <w:sz w:val="24"/>
        </w:rPr>
        <w:t xml:space="preserve">instruments.  </w:t>
      </w:r>
      <w:r w:rsidR="00C33391">
        <w:rPr>
          <w:rFonts w:ascii="Times New Roman" w:hAnsi="Times New Roman" w:cs="Times New Roman"/>
          <w:sz w:val="24"/>
        </w:rPr>
        <w:t>A total of 1,583 unique days of data comprised the data set used.</w:t>
      </w:r>
    </w:p>
    <w:p w14:paraId="160D91AF" w14:textId="67F4FC4A" w:rsidR="000A4A1A" w:rsidRDefault="00410DBE" w:rsidP="00410DBE">
      <w:pPr>
        <w:pStyle w:val="Heading2"/>
        <w:ind w:firstLine="720"/>
      </w:pPr>
      <w:bookmarkStart w:id="18" w:name="_Toc479667442"/>
      <w:r>
        <w:t xml:space="preserve">5.2 </w:t>
      </w:r>
      <w:r>
        <w:tab/>
      </w:r>
      <w:r w:rsidR="000A4A1A" w:rsidRPr="007703B2">
        <w:t>Data Pre-processing</w:t>
      </w:r>
      <w:bookmarkEnd w:id="18"/>
    </w:p>
    <w:p w14:paraId="38715056" w14:textId="77777777" w:rsidR="00D13B81" w:rsidRDefault="00D13B81" w:rsidP="00D13B81">
      <w:pPr>
        <w:widowControl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instrument, the following summary statistics were calculated by Day:</w:t>
      </w:r>
    </w:p>
    <w:p w14:paraId="6E23D4B9" w14:textId="080AB329" w:rsidR="00D13B81" w:rsidRPr="00983335" w:rsidRDefault="002F057B" w:rsidP="00681EC8">
      <w:pPr>
        <w:pStyle w:val="ListParagraph"/>
        <w:widowControl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Maximum and Standard Deviation</w:t>
      </w:r>
      <w:r w:rsidR="00D13B81" w:rsidRPr="00983335">
        <w:rPr>
          <w:rFonts w:ascii="Times New Roman" w:hAnsi="Times New Roman" w:cs="Times New Roman"/>
          <w:sz w:val="24"/>
        </w:rPr>
        <w:t xml:space="preserve"> of </w:t>
      </w:r>
    </w:p>
    <w:p w14:paraId="6FA4A31B" w14:textId="77777777" w:rsidR="00D13B81" w:rsidRPr="00983335" w:rsidRDefault="00D13B81" w:rsidP="00681EC8">
      <w:pPr>
        <w:pStyle w:val="ListParagraph"/>
        <w:widowControl/>
        <w:numPr>
          <w:ilvl w:val="1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r w:rsidRPr="00983335">
        <w:rPr>
          <w:rFonts w:ascii="Times New Roman" w:hAnsi="Times New Roman" w:cs="Times New Roman"/>
          <w:sz w:val="24"/>
        </w:rPr>
        <w:t>INTEGRATEDDARKCOUNT</w:t>
      </w:r>
    </w:p>
    <w:p w14:paraId="458938A7" w14:textId="31EF748D" w:rsidR="00D13B81" w:rsidRPr="00983335" w:rsidRDefault="00D13B81" w:rsidP="00681EC8">
      <w:pPr>
        <w:pStyle w:val="ListParagraph"/>
        <w:widowControl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r w:rsidRPr="00983335">
        <w:rPr>
          <w:rFonts w:ascii="Times New Roman" w:hAnsi="Times New Roman" w:cs="Times New Roman"/>
          <w:sz w:val="24"/>
        </w:rPr>
        <w:t xml:space="preserve">Sum of the number of background read </w:t>
      </w:r>
      <w:r w:rsidR="008926B7">
        <w:rPr>
          <w:rFonts w:ascii="Times New Roman" w:hAnsi="Times New Roman" w:cs="Times New Roman"/>
          <w:sz w:val="24"/>
        </w:rPr>
        <w:t xml:space="preserve">failures </w:t>
      </w:r>
      <w:r w:rsidRPr="00983335">
        <w:rPr>
          <w:rFonts w:ascii="Times New Roman" w:hAnsi="Times New Roman" w:cs="Times New Roman"/>
          <w:sz w:val="24"/>
        </w:rPr>
        <w:t>(tests sent to exception with “Unable to process test, background read failure” message</w:t>
      </w:r>
      <w:r w:rsidR="008926B7">
        <w:rPr>
          <w:rFonts w:ascii="Times New Roman" w:hAnsi="Times New Roman" w:cs="Times New Roman"/>
          <w:sz w:val="24"/>
        </w:rPr>
        <w:t>)</w:t>
      </w:r>
    </w:p>
    <w:p w14:paraId="0341C713" w14:textId="5A914CD9" w:rsidR="00A4292F" w:rsidRPr="00C33391" w:rsidRDefault="002F057B" w:rsidP="00681EC8">
      <w:pPr>
        <w:pStyle w:val="ListParagraph"/>
        <w:numPr>
          <w:ilvl w:val="1"/>
          <w:numId w:val="13"/>
        </w:numPr>
      </w:pPr>
      <w:r>
        <w:rPr>
          <w:rFonts w:ascii="Times New Roman" w:hAnsi="Times New Roman" w:cs="Times New Roman"/>
          <w:sz w:val="24"/>
        </w:rPr>
        <w:t>Any day with at least 3</w:t>
      </w:r>
      <w:r w:rsidR="00D13B81" w:rsidRPr="00D13B81">
        <w:rPr>
          <w:rFonts w:ascii="Times New Roman" w:hAnsi="Times New Roman" w:cs="Times New Roman"/>
          <w:sz w:val="24"/>
        </w:rPr>
        <w:t xml:space="preserve"> background read failure was considered a failure.</w:t>
      </w:r>
      <w:r w:rsidR="00D13B81" w:rsidRPr="00D13B81">
        <w:rPr>
          <w:sz w:val="24"/>
        </w:rPr>
        <w:t xml:space="preserve">  </w:t>
      </w:r>
    </w:p>
    <w:p w14:paraId="4C74CB86" w14:textId="3C33982D" w:rsidR="00C33391" w:rsidRPr="00C33391" w:rsidRDefault="00C33391" w:rsidP="00C333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3391">
        <w:rPr>
          <w:rFonts w:ascii="Times New Roman" w:hAnsi="Times New Roman" w:cs="Times New Roman"/>
          <w:sz w:val="24"/>
        </w:rPr>
        <w:t>Data was split into 70% Training and 30% Validation</w:t>
      </w:r>
    </w:p>
    <w:p w14:paraId="48405D16" w14:textId="0FA92A79" w:rsidR="00493BC6" w:rsidRPr="00CC4D26" w:rsidRDefault="00D0211C" w:rsidP="00C33391">
      <w:pPr>
        <w:pStyle w:val="Heading2"/>
        <w:rPr>
          <w:rFonts w:ascii="Times New Roman" w:hAnsi="Times New Roman" w:cs="Times New Roman"/>
          <w:sz w:val="24"/>
        </w:rPr>
      </w:pPr>
      <w:r>
        <w:lastRenderedPageBreak/>
        <w:tab/>
      </w:r>
      <w:bookmarkStart w:id="19" w:name="_Toc479667443"/>
      <w:r w:rsidR="00C33391">
        <w:t>5.3</w:t>
      </w:r>
      <w:r w:rsidR="00C33391">
        <w:tab/>
        <w:t>Model</w:t>
      </w:r>
      <w:bookmarkEnd w:id="19"/>
    </w:p>
    <w:p w14:paraId="5F5FE225" w14:textId="5211E30A" w:rsidR="00A97100" w:rsidRDefault="00A97100" w:rsidP="00C33391">
      <w:pPr>
        <w:keepNext/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</w:rPr>
        <w:tab/>
      </w:r>
      <w:r w:rsidR="00C33391" w:rsidRPr="00C33391">
        <w:rPr>
          <w:rFonts w:ascii="Times New Roman" w:hAnsi="Times New Roman" w:cs="Times New Roman"/>
          <w:bCs/>
          <w:color w:val="000000"/>
          <w:sz w:val="24"/>
          <w:szCs w:val="24"/>
        </w:rPr>
        <w:t>Using</w:t>
      </w:r>
      <w:r w:rsidR="00C3339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JMP Pro version 12.1.0, the Partition Modeling Platform was used to create the model for this alert. Model performance statistics are as follows:</w:t>
      </w:r>
    </w:p>
    <w:p w14:paraId="133FDC77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5C9E34E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000000"/>
        </w:rPr>
        <w:t>Partition for Fail</w:t>
      </w:r>
    </w:p>
    <w:p w14:paraId="4D21E095" w14:textId="00A44CD9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AA699A9" wp14:editId="00E8DE49">
            <wp:extent cx="5528945" cy="3434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80"/>
        <w:gridCol w:w="920"/>
        <w:gridCol w:w="755"/>
        <w:gridCol w:w="920"/>
      </w:tblGrid>
      <w:tr w:rsidR="00C33391" w14:paraId="7286675C" w14:textId="77777777" w:rsidTr="00C33391">
        <w:trPr>
          <w:tblHeader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7B18547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052C3C4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2D2146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86269EB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Number of Splits</w:t>
            </w:r>
          </w:p>
        </w:tc>
      </w:tr>
      <w:tr w:rsidR="00C33391" w14:paraId="12186732" w14:textId="77777777" w:rsidTr="00C33391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9383287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6BF7337E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57F496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7F30E6E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C33391" w14:paraId="35018F4A" w14:textId="77777777" w:rsidTr="00C33391"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D3BB31E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06536A7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927B4D7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14:paraId="135167A3" w14:textId="4B3AE2CA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</w:tr>
    </w:tbl>
    <w:p w14:paraId="17E2D0C5" w14:textId="77777777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36FC298" w14:textId="458D9262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461CDB3" wp14:editId="6F666069">
            <wp:extent cx="5199380" cy="314706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47CB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Split History</w:t>
      </w:r>
    </w:p>
    <w:p w14:paraId="2A93F2EA" w14:textId="504FA146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71D15AE" wp14:editId="3EAB6507">
            <wp:extent cx="4816475" cy="213741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CF61" w14:textId="77777777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Validation Data in Red</w:t>
      </w:r>
    </w:p>
    <w:p w14:paraId="4D5283F2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Fit Details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5"/>
        <w:gridCol w:w="935"/>
        <w:gridCol w:w="1085"/>
        <w:gridCol w:w="3260"/>
      </w:tblGrid>
      <w:tr w:rsidR="00C33391" w14:paraId="2C3AC00E" w14:textId="77777777">
        <w:trPr>
          <w:tblHeader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9CAE3B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Measure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D50D0A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61F8F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Validation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39A2999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</w:tr>
      <w:tr w:rsidR="00C33391" w14:paraId="1C5D5E7B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64E69B0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Entropy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DD6090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0.7650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7250ED6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0.7489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3B6F18D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1-Loglike(model)/</w:t>
            </w: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Loglike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0)</w:t>
            </w:r>
          </w:p>
        </w:tc>
      </w:tr>
      <w:tr w:rsidR="00C33391" w14:paraId="650B9EBE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44FE4743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Generalized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RSquare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A00A01E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0.7763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50B8361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0.7598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5BBE9F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(1-(L(0)/L(model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))^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(2/n))/(1-L(0)^(2/n))</w:t>
            </w:r>
          </w:p>
        </w:tc>
      </w:tr>
      <w:tr w:rsidR="00C33391" w14:paraId="045552FF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09D5BC17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Mean -Log p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79D626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BD4A4B2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7BEF8A3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∑ -Log(ρ[j])/n</w:t>
            </w:r>
          </w:p>
        </w:tc>
      </w:tr>
      <w:tr w:rsidR="00C33391" w14:paraId="33672908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585DA294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RMSE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B32EC79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0.0733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0BA6963B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0.0728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0DE18B9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√ ∑(y[j]-ρ[j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])²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/n</w:t>
            </w:r>
          </w:p>
        </w:tc>
      </w:tr>
      <w:tr w:rsidR="00C33391" w14:paraId="77E69796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179DD7B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Mean Abs Dev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6A8AF0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0.0108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B60D6C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D1C75F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∑ |y[j]-ρ[j]|/n</w:t>
            </w:r>
          </w:p>
        </w:tc>
      </w:tr>
      <w:tr w:rsidR="00C33391" w14:paraId="1F99EE2D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6452564B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Misclassification Rate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C55E60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0.0099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3FC26EA1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11AE397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∑ (ρ[j]≠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ρMax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)/n</w:t>
            </w:r>
          </w:p>
        </w:tc>
      </w:tr>
      <w:tr w:rsidR="00C33391" w14:paraId="5A952631" w14:textId="77777777"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6F52F169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C044AC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1110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BB54A8C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4F9B4AC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</w:t>
            </w:r>
          </w:p>
        </w:tc>
      </w:tr>
    </w:tbl>
    <w:p w14:paraId="26E6FB5F" w14:textId="77777777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06462FA0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Confusion Matrix</w:t>
      </w:r>
    </w:p>
    <w:p w14:paraId="4D9DC4DF" w14:textId="77777777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Training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  <w:t>Validation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5"/>
        <w:gridCol w:w="560"/>
        <w:gridCol w:w="560"/>
      </w:tblGrid>
      <w:tr w:rsidR="00C33391" w14:paraId="4BA62A2A" w14:textId="77777777">
        <w:trPr>
          <w:tblHeader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8967E3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Actual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60B8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Predicted</w:t>
            </w:r>
          </w:p>
        </w:tc>
      </w:tr>
      <w:tr w:rsidR="00C33391" w14:paraId="7BE349EC" w14:textId="77777777">
        <w:trPr>
          <w:tblHeader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AC767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494CB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E108C4E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C33391" w14:paraId="02A01438" w14:textId="77777777"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997EEC6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4B00E80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1086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12925E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</w:t>
            </w:r>
          </w:p>
        </w:tc>
      </w:tr>
      <w:tr w:rsidR="00C33391" w14:paraId="4CA1CD65" w14:textId="77777777"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2346123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E7F6FC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9F023FF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13</w:t>
            </w:r>
          </w:p>
        </w:tc>
      </w:tr>
    </w:tbl>
    <w:tbl>
      <w:tblPr>
        <w:tblpPr w:leftFromText="180" w:rightFromText="180" w:vertAnchor="text" w:horzAnchor="page" w:tblpX="3059" w:tblpY="-885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5"/>
        <w:gridCol w:w="560"/>
        <w:gridCol w:w="560"/>
      </w:tblGrid>
      <w:tr w:rsidR="00C33391" w14:paraId="23EF3E6A" w14:textId="77777777" w:rsidTr="00C33391">
        <w:trPr>
          <w:tblHeader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0BFABFD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Actual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5EDC5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Predicted</w:t>
            </w:r>
          </w:p>
        </w:tc>
      </w:tr>
      <w:tr w:rsidR="00C33391" w14:paraId="46FC4C00" w14:textId="77777777" w:rsidTr="00C33391">
        <w:trPr>
          <w:tblHeader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C3A238E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D72B728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4E958B1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C33391" w14:paraId="6086764F" w14:textId="77777777" w:rsidTr="00C33391"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7FC83B3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D5552DB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D585375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</w:t>
            </w:r>
          </w:p>
        </w:tc>
      </w:tr>
      <w:tr w:rsidR="00C33391" w14:paraId="12D727D2" w14:textId="77777777" w:rsidTr="00C33391"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175A77E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9A74ABD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1EB16D1" w14:textId="77777777" w:rsidR="00C33391" w:rsidRDefault="00C33391" w:rsidP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</w:t>
            </w:r>
          </w:p>
        </w:tc>
      </w:tr>
    </w:tbl>
    <w:p w14:paraId="76517AC6" w14:textId="44AF4A9B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14:paraId="22E2A7FC" w14:textId="77777777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6C532DEF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Receiver Operating Characteristic</w:t>
      </w:r>
    </w:p>
    <w:p w14:paraId="4E161D4A" w14:textId="4ED867D8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1D5A342" wp14:editId="5A8F846E">
            <wp:extent cx="3455670" cy="3242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0"/>
        <w:gridCol w:w="515"/>
        <w:gridCol w:w="755"/>
      </w:tblGrid>
      <w:tr w:rsidR="00C33391" w14:paraId="5432BAE3" w14:textId="77777777">
        <w:trPr>
          <w:tblHeader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16E7646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5BC45D4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2CFAD2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Area</w:t>
            </w:r>
          </w:p>
        </w:tc>
      </w:tr>
      <w:tr w:rsidR="00C33391" w14:paraId="503F2E1E" w14:textId="77777777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9386AC3" w14:textId="1BAF3FB9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E4D5CB" wp14:editId="1001448B">
                  <wp:extent cx="223520" cy="148590"/>
                  <wp:effectExtent l="0" t="0" r="508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14:paraId="44647B94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DE5B435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0.9950</w:t>
            </w:r>
          </w:p>
        </w:tc>
      </w:tr>
      <w:tr w:rsidR="00C33391" w14:paraId="68B17991" w14:textId="77777777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2D91F13" w14:textId="7FDF9941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4EABD24" wp14:editId="1A13ACF9">
                  <wp:extent cx="223520" cy="148590"/>
                  <wp:effectExtent l="0" t="0" r="508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14:paraId="7E89DE23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A1BD470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0.9950</w:t>
            </w:r>
          </w:p>
        </w:tc>
      </w:tr>
    </w:tbl>
    <w:p w14:paraId="617B7397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ab/>
      </w:r>
    </w:p>
    <w:p w14:paraId="3B33BF33" w14:textId="77777777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7B91A84F" w14:textId="580E6489" w:rsidR="00C33391" w:rsidRDefault="00C33391" w:rsidP="00C33391">
      <w:pPr>
        <w:keepNext/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Receiver Operating Characteristic on Validation Data</w:t>
      </w:r>
    </w:p>
    <w:p w14:paraId="1DF2C979" w14:textId="64CCC3A4" w:rsidR="00C33391" w:rsidRDefault="00C33391" w:rsidP="00C33391">
      <w:pPr>
        <w:widowControl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C66D33C" wp14:editId="150B1261">
            <wp:extent cx="345567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0"/>
        <w:gridCol w:w="515"/>
        <w:gridCol w:w="755"/>
      </w:tblGrid>
      <w:tr w:rsidR="00C33391" w14:paraId="5F46EEF5" w14:textId="77777777">
        <w:trPr>
          <w:tblHeader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627FAA8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6C7AE63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579DE02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Area</w:t>
            </w:r>
          </w:p>
        </w:tc>
      </w:tr>
      <w:tr w:rsidR="00C33391" w14:paraId="3A71CE72" w14:textId="77777777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F4A0CFD" w14:textId="2B351FF3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FC297BC" wp14:editId="0B53DC3F">
                  <wp:extent cx="223520" cy="148590"/>
                  <wp:effectExtent l="0" t="0" r="508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14:paraId="16E1138A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3B74F80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0.9947</w:t>
            </w:r>
          </w:p>
        </w:tc>
      </w:tr>
      <w:tr w:rsidR="00C33391" w14:paraId="7224C8D1" w14:textId="77777777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B09C94D" w14:textId="1B9B1E6E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3F991" wp14:editId="1789C6C4">
                  <wp:extent cx="223520" cy="148590"/>
                  <wp:effectExtent l="0" t="0" r="508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14:paraId="017C594E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A7AC002" w14:textId="77777777" w:rsidR="00C33391" w:rsidRDefault="00C33391">
            <w:pPr>
              <w:widowControl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0.9947</w:t>
            </w:r>
          </w:p>
        </w:tc>
      </w:tr>
    </w:tbl>
    <w:p w14:paraId="249229C4" w14:textId="77777777" w:rsidR="00D028FA" w:rsidRPr="00D028FA" w:rsidRDefault="00D028FA" w:rsidP="006C72D7">
      <w:pPr>
        <w:rPr>
          <w:rFonts w:ascii="Times New Roman" w:hAnsi="Times New Roman" w:cs="Times New Roman"/>
          <w:sz w:val="24"/>
          <w:szCs w:val="24"/>
        </w:rPr>
      </w:pPr>
    </w:p>
    <w:p w14:paraId="3B75BCCB" w14:textId="77777777" w:rsidR="0032102C" w:rsidRPr="0032102C" w:rsidRDefault="0032102C" w:rsidP="00681EC8">
      <w:pPr>
        <w:pStyle w:val="ListParagraph"/>
        <w:keepNext/>
        <w:keepLines/>
        <w:numPr>
          <w:ilvl w:val="0"/>
          <w:numId w:val="10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20" w:name="_Toc444072149"/>
      <w:bookmarkStart w:id="21" w:name="_Toc444072398"/>
      <w:bookmarkStart w:id="22" w:name="_Toc444072827"/>
      <w:bookmarkStart w:id="23" w:name="_Toc444072993"/>
      <w:bookmarkStart w:id="24" w:name="_Toc444073186"/>
      <w:bookmarkStart w:id="25" w:name="_Toc444082916"/>
      <w:bookmarkStart w:id="26" w:name="_Toc444083042"/>
      <w:bookmarkEnd w:id="20"/>
      <w:bookmarkEnd w:id="21"/>
      <w:bookmarkEnd w:id="22"/>
      <w:bookmarkEnd w:id="23"/>
      <w:bookmarkEnd w:id="24"/>
      <w:bookmarkEnd w:id="25"/>
      <w:bookmarkEnd w:id="26"/>
    </w:p>
    <w:sectPr w:rsidR="0032102C" w:rsidRPr="0032102C" w:rsidSect="006C72D7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95C4" w14:textId="77777777" w:rsidR="00D96EAA" w:rsidRDefault="00D96EAA" w:rsidP="006D430A">
      <w:pPr>
        <w:spacing w:after="0" w:line="240" w:lineRule="auto"/>
      </w:pPr>
      <w:r>
        <w:separator/>
      </w:r>
    </w:p>
  </w:endnote>
  <w:endnote w:type="continuationSeparator" w:id="0">
    <w:p w14:paraId="53475B54" w14:textId="77777777" w:rsidR="00D96EAA" w:rsidRDefault="00D96EAA" w:rsidP="006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285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DD27F" w14:textId="450AF7FD" w:rsidR="00D96EAA" w:rsidRDefault="00D96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495243" w14:textId="77777777" w:rsidR="00D96EAA" w:rsidRDefault="00D96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A3133" w14:textId="77777777" w:rsidR="00D96EAA" w:rsidRDefault="00D96EAA" w:rsidP="006D430A">
      <w:pPr>
        <w:spacing w:after="0" w:line="240" w:lineRule="auto"/>
      </w:pPr>
      <w:r>
        <w:separator/>
      </w:r>
    </w:p>
  </w:footnote>
  <w:footnote w:type="continuationSeparator" w:id="0">
    <w:p w14:paraId="0C82D901" w14:textId="77777777" w:rsidR="00D96EAA" w:rsidRDefault="00D96EAA" w:rsidP="006D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B48"/>
    <w:multiLevelType w:val="hybridMultilevel"/>
    <w:tmpl w:val="58A657CC"/>
    <w:lvl w:ilvl="0" w:tplc="F0FEFC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4F0"/>
    <w:multiLevelType w:val="hybridMultilevel"/>
    <w:tmpl w:val="B10EFE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200"/>
    <w:multiLevelType w:val="hybridMultilevel"/>
    <w:tmpl w:val="BE2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72E"/>
    <w:multiLevelType w:val="hybridMultilevel"/>
    <w:tmpl w:val="9AF4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10515"/>
    <w:multiLevelType w:val="hybridMultilevel"/>
    <w:tmpl w:val="62E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4EB2"/>
    <w:multiLevelType w:val="hybridMultilevel"/>
    <w:tmpl w:val="1422DA02"/>
    <w:lvl w:ilvl="0" w:tplc="70E0D584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BB21378"/>
    <w:multiLevelType w:val="hybridMultilevel"/>
    <w:tmpl w:val="32FC7EC0"/>
    <w:lvl w:ilvl="0" w:tplc="DF929F4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3454C7"/>
    <w:multiLevelType w:val="hybridMultilevel"/>
    <w:tmpl w:val="3C70F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2F7A44"/>
    <w:multiLevelType w:val="hybridMultilevel"/>
    <w:tmpl w:val="91586BF4"/>
    <w:lvl w:ilvl="0" w:tplc="71B6ABD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2319D"/>
    <w:multiLevelType w:val="hybridMultilevel"/>
    <w:tmpl w:val="F1D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03982"/>
    <w:multiLevelType w:val="hybridMultilevel"/>
    <w:tmpl w:val="32FC7EC0"/>
    <w:lvl w:ilvl="0" w:tplc="DF929F4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C02D47"/>
    <w:multiLevelType w:val="hybridMultilevel"/>
    <w:tmpl w:val="500C6B4C"/>
    <w:lvl w:ilvl="0" w:tplc="71B6ABD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622A2"/>
    <w:multiLevelType w:val="hybridMultilevel"/>
    <w:tmpl w:val="69B23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7229F8"/>
    <w:multiLevelType w:val="hybridMultilevel"/>
    <w:tmpl w:val="223824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F052BD"/>
    <w:multiLevelType w:val="hybridMultilevel"/>
    <w:tmpl w:val="208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E3597"/>
    <w:multiLevelType w:val="hybridMultilevel"/>
    <w:tmpl w:val="42646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F17B50"/>
    <w:multiLevelType w:val="hybridMultilevel"/>
    <w:tmpl w:val="747AFF20"/>
    <w:lvl w:ilvl="0" w:tplc="97005B02">
      <w:start w:val="3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2E66BA"/>
    <w:multiLevelType w:val="multilevel"/>
    <w:tmpl w:val="83C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45700"/>
    <w:multiLevelType w:val="hybridMultilevel"/>
    <w:tmpl w:val="1422DA02"/>
    <w:lvl w:ilvl="0" w:tplc="70E0D584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4"/>
  </w:num>
  <w:num w:numId="5">
    <w:abstractNumId w:val="9"/>
  </w:num>
  <w:num w:numId="6">
    <w:abstractNumId w:val="1"/>
  </w:num>
  <w:num w:numId="7">
    <w:abstractNumId w:val="18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  <w:num w:numId="12">
    <w:abstractNumId w:val="15"/>
  </w:num>
  <w:num w:numId="13">
    <w:abstractNumId w:val="8"/>
  </w:num>
  <w:num w:numId="14">
    <w:abstractNumId w:val="11"/>
  </w:num>
  <w:num w:numId="15">
    <w:abstractNumId w:val="12"/>
  </w:num>
  <w:num w:numId="16">
    <w:abstractNumId w:val="17"/>
  </w:num>
  <w:num w:numId="17">
    <w:abstractNumId w:val="7"/>
  </w:num>
  <w:num w:numId="18">
    <w:abstractNumId w:val="0"/>
  </w:num>
  <w:num w:numId="1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2B"/>
    <w:rsid w:val="0000059D"/>
    <w:rsid w:val="000014A4"/>
    <w:rsid w:val="000051E0"/>
    <w:rsid w:val="000063EB"/>
    <w:rsid w:val="0000652D"/>
    <w:rsid w:val="00007460"/>
    <w:rsid w:val="000137BF"/>
    <w:rsid w:val="00020627"/>
    <w:rsid w:val="000253DF"/>
    <w:rsid w:val="0002572C"/>
    <w:rsid w:val="000266B2"/>
    <w:rsid w:val="00027E18"/>
    <w:rsid w:val="000303C2"/>
    <w:rsid w:val="00035EE8"/>
    <w:rsid w:val="0003776A"/>
    <w:rsid w:val="000513C0"/>
    <w:rsid w:val="00061249"/>
    <w:rsid w:val="00061AA1"/>
    <w:rsid w:val="00061C99"/>
    <w:rsid w:val="00061E5D"/>
    <w:rsid w:val="000645B5"/>
    <w:rsid w:val="00066AF9"/>
    <w:rsid w:val="00072F42"/>
    <w:rsid w:val="0007416E"/>
    <w:rsid w:val="000767E5"/>
    <w:rsid w:val="00080ADC"/>
    <w:rsid w:val="00081124"/>
    <w:rsid w:val="000824A4"/>
    <w:rsid w:val="00086387"/>
    <w:rsid w:val="0009643C"/>
    <w:rsid w:val="000A16CD"/>
    <w:rsid w:val="000A1EBF"/>
    <w:rsid w:val="000A3C02"/>
    <w:rsid w:val="000A4A1A"/>
    <w:rsid w:val="000A5058"/>
    <w:rsid w:val="000A6907"/>
    <w:rsid w:val="000B0ED2"/>
    <w:rsid w:val="000B5FC4"/>
    <w:rsid w:val="000C229A"/>
    <w:rsid w:val="000C3B26"/>
    <w:rsid w:val="000C7F41"/>
    <w:rsid w:val="000D03CE"/>
    <w:rsid w:val="000D2187"/>
    <w:rsid w:val="000D5F8C"/>
    <w:rsid w:val="000E6624"/>
    <w:rsid w:val="000F135A"/>
    <w:rsid w:val="000F2D6F"/>
    <w:rsid w:val="000F4443"/>
    <w:rsid w:val="000F595B"/>
    <w:rsid w:val="00103AF7"/>
    <w:rsid w:val="00104FD0"/>
    <w:rsid w:val="00107AAD"/>
    <w:rsid w:val="0011090B"/>
    <w:rsid w:val="0011214C"/>
    <w:rsid w:val="0012067E"/>
    <w:rsid w:val="00120727"/>
    <w:rsid w:val="00120B67"/>
    <w:rsid w:val="00121D36"/>
    <w:rsid w:val="00124B42"/>
    <w:rsid w:val="00125F7E"/>
    <w:rsid w:val="00130D1B"/>
    <w:rsid w:val="001316EA"/>
    <w:rsid w:val="00133526"/>
    <w:rsid w:val="0013642F"/>
    <w:rsid w:val="00137E4D"/>
    <w:rsid w:val="001407D0"/>
    <w:rsid w:val="001443BA"/>
    <w:rsid w:val="00145968"/>
    <w:rsid w:val="001506B6"/>
    <w:rsid w:val="00151E3D"/>
    <w:rsid w:val="0015232E"/>
    <w:rsid w:val="00163421"/>
    <w:rsid w:val="001648D7"/>
    <w:rsid w:val="0016517E"/>
    <w:rsid w:val="00165C64"/>
    <w:rsid w:val="00172251"/>
    <w:rsid w:val="00172D7A"/>
    <w:rsid w:val="00172EEF"/>
    <w:rsid w:val="00175BA7"/>
    <w:rsid w:val="00176796"/>
    <w:rsid w:val="00177B2A"/>
    <w:rsid w:val="001847E8"/>
    <w:rsid w:val="001908B5"/>
    <w:rsid w:val="001939A7"/>
    <w:rsid w:val="00195F61"/>
    <w:rsid w:val="001A0176"/>
    <w:rsid w:val="001A1913"/>
    <w:rsid w:val="001A3A99"/>
    <w:rsid w:val="001B2E28"/>
    <w:rsid w:val="001B49E5"/>
    <w:rsid w:val="001B6E98"/>
    <w:rsid w:val="001C1684"/>
    <w:rsid w:val="001C19C0"/>
    <w:rsid w:val="001C2B8D"/>
    <w:rsid w:val="001C3790"/>
    <w:rsid w:val="001C3944"/>
    <w:rsid w:val="001C3C91"/>
    <w:rsid w:val="001C6413"/>
    <w:rsid w:val="001C6F9A"/>
    <w:rsid w:val="001D46E6"/>
    <w:rsid w:val="001D7F27"/>
    <w:rsid w:val="001E6B72"/>
    <w:rsid w:val="001E6DD9"/>
    <w:rsid w:val="001E77E3"/>
    <w:rsid w:val="001F2A4A"/>
    <w:rsid w:val="001F2EBF"/>
    <w:rsid w:val="001F5008"/>
    <w:rsid w:val="002039F9"/>
    <w:rsid w:val="002065CD"/>
    <w:rsid w:val="00214336"/>
    <w:rsid w:val="00214804"/>
    <w:rsid w:val="00220BA7"/>
    <w:rsid w:val="00225C3A"/>
    <w:rsid w:val="00225F70"/>
    <w:rsid w:val="00230CD8"/>
    <w:rsid w:val="00231581"/>
    <w:rsid w:val="00231932"/>
    <w:rsid w:val="00232666"/>
    <w:rsid w:val="0023745F"/>
    <w:rsid w:val="00241D09"/>
    <w:rsid w:val="002454FF"/>
    <w:rsid w:val="00247332"/>
    <w:rsid w:val="00252C6F"/>
    <w:rsid w:val="00254474"/>
    <w:rsid w:val="00255AF9"/>
    <w:rsid w:val="00256152"/>
    <w:rsid w:val="002602DA"/>
    <w:rsid w:val="00261727"/>
    <w:rsid w:val="002629FB"/>
    <w:rsid w:val="002644CD"/>
    <w:rsid w:val="00273378"/>
    <w:rsid w:val="00275F0F"/>
    <w:rsid w:val="00283321"/>
    <w:rsid w:val="00283F60"/>
    <w:rsid w:val="00285655"/>
    <w:rsid w:val="0029063D"/>
    <w:rsid w:val="00290C74"/>
    <w:rsid w:val="002956D7"/>
    <w:rsid w:val="0029623B"/>
    <w:rsid w:val="002969BF"/>
    <w:rsid w:val="002A0B00"/>
    <w:rsid w:val="002A16E6"/>
    <w:rsid w:val="002A17B2"/>
    <w:rsid w:val="002A2D69"/>
    <w:rsid w:val="002A40CB"/>
    <w:rsid w:val="002A52A4"/>
    <w:rsid w:val="002A5F4B"/>
    <w:rsid w:val="002B3CED"/>
    <w:rsid w:val="002B43A7"/>
    <w:rsid w:val="002B552E"/>
    <w:rsid w:val="002B63B5"/>
    <w:rsid w:val="002C361F"/>
    <w:rsid w:val="002C4358"/>
    <w:rsid w:val="002C4CFF"/>
    <w:rsid w:val="002C663E"/>
    <w:rsid w:val="002D4866"/>
    <w:rsid w:val="002D53B6"/>
    <w:rsid w:val="002D7AB1"/>
    <w:rsid w:val="002E2873"/>
    <w:rsid w:val="002E491A"/>
    <w:rsid w:val="002F057B"/>
    <w:rsid w:val="002F26A1"/>
    <w:rsid w:val="002F44C1"/>
    <w:rsid w:val="002F51A0"/>
    <w:rsid w:val="002F535A"/>
    <w:rsid w:val="002F6226"/>
    <w:rsid w:val="002F6DBF"/>
    <w:rsid w:val="00303029"/>
    <w:rsid w:val="003036B8"/>
    <w:rsid w:val="00304BF5"/>
    <w:rsid w:val="00305514"/>
    <w:rsid w:val="00305BB3"/>
    <w:rsid w:val="00310B03"/>
    <w:rsid w:val="00310BAE"/>
    <w:rsid w:val="00313355"/>
    <w:rsid w:val="003154B5"/>
    <w:rsid w:val="00320064"/>
    <w:rsid w:val="0032102C"/>
    <w:rsid w:val="0032122B"/>
    <w:rsid w:val="00330A80"/>
    <w:rsid w:val="00331725"/>
    <w:rsid w:val="00332FDB"/>
    <w:rsid w:val="00337DC0"/>
    <w:rsid w:val="00342E54"/>
    <w:rsid w:val="00343296"/>
    <w:rsid w:val="00344BC1"/>
    <w:rsid w:val="003511C4"/>
    <w:rsid w:val="003520CD"/>
    <w:rsid w:val="00355658"/>
    <w:rsid w:val="00356658"/>
    <w:rsid w:val="003649F6"/>
    <w:rsid w:val="0036719D"/>
    <w:rsid w:val="0036732E"/>
    <w:rsid w:val="00370046"/>
    <w:rsid w:val="00371290"/>
    <w:rsid w:val="003733BC"/>
    <w:rsid w:val="00384D68"/>
    <w:rsid w:val="00384D83"/>
    <w:rsid w:val="0038675D"/>
    <w:rsid w:val="003879C0"/>
    <w:rsid w:val="003911C0"/>
    <w:rsid w:val="00392BB5"/>
    <w:rsid w:val="003936CA"/>
    <w:rsid w:val="00396008"/>
    <w:rsid w:val="00397F68"/>
    <w:rsid w:val="003A3BB6"/>
    <w:rsid w:val="003A41BF"/>
    <w:rsid w:val="003A651C"/>
    <w:rsid w:val="003B4AEE"/>
    <w:rsid w:val="003B6BC0"/>
    <w:rsid w:val="003B79A2"/>
    <w:rsid w:val="003C4009"/>
    <w:rsid w:val="003C6E81"/>
    <w:rsid w:val="003D105D"/>
    <w:rsid w:val="003D4550"/>
    <w:rsid w:val="003D45D4"/>
    <w:rsid w:val="003E1BFE"/>
    <w:rsid w:val="003E24D5"/>
    <w:rsid w:val="003E2BDA"/>
    <w:rsid w:val="003E36EB"/>
    <w:rsid w:val="00405229"/>
    <w:rsid w:val="004076E4"/>
    <w:rsid w:val="00410DBE"/>
    <w:rsid w:val="00412963"/>
    <w:rsid w:val="00412F49"/>
    <w:rsid w:val="00414EBA"/>
    <w:rsid w:val="00423274"/>
    <w:rsid w:val="00424A2F"/>
    <w:rsid w:val="00424A62"/>
    <w:rsid w:val="0042624B"/>
    <w:rsid w:val="004277B5"/>
    <w:rsid w:val="0043391B"/>
    <w:rsid w:val="004370D6"/>
    <w:rsid w:val="00437935"/>
    <w:rsid w:val="004414E0"/>
    <w:rsid w:val="004475BD"/>
    <w:rsid w:val="0045647E"/>
    <w:rsid w:val="0045671D"/>
    <w:rsid w:val="0045703A"/>
    <w:rsid w:val="00463627"/>
    <w:rsid w:val="00464E59"/>
    <w:rsid w:val="00465607"/>
    <w:rsid w:val="00471556"/>
    <w:rsid w:val="00472CD4"/>
    <w:rsid w:val="00473592"/>
    <w:rsid w:val="00474CB0"/>
    <w:rsid w:val="00475BA5"/>
    <w:rsid w:val="00476D3C"/>
    <w:rsid w:val="004809D3"/>
    <w:rsid w:val="004812A5"/>
    <w:rsid w:val="0048263D"/>
    <w:rsid w:val="0048488D"/>
    <w:rsid w:val="00491EA9"/>
    <w:rsid w:val="00493BC6"/>
    <w:rsid w:val="0049431D"/>
    <w:rsid w:val="00495311"/>
    <w:rsid w:val="004A1A9B"/>
    <w:rsid w:val="004A235C"/>
    <w:rsid w:val="004A3C1C"/>
    <w:rsid w:val="004A7E65"/>
    <w:rsid w:val="004C0D32"/>
    <w:rsid w:val="004D1ACC"/>
    <w:rsid w:val="004D6471"/>
    <w:rsid w:val="004D7318"/>
    <w:rsid w:val="004D76F5"/>
    <w:rsid w:val="004D7D4C"/>
    <w:rsid w:val="004E0A9C"/>
    <w:rsid w:val="004E5844"/>
    <w:rsid w:val="004E5F6A"/>
    <w:rsid w:val="004E6D3A"/>
    <w:rsid w:val="004E7167"/>
    <w:rsid w:val="004F1E2F"/>
    <w:rsid w:val="004F4BA9"/>
    <w:rsid w:val="004F4C39"/>
    <w:rsid w:val="004F4EBA"/>
    <w:rsid w:val="004F65FC"/>
    <w:rsid w:val="004F6B41"/>
    <w:rsid w:val="00500679"/>
    <w:rsid w:val="0050173A"/>
    <w:rsid w:val="005025E5"/>
    <w:rsid w:val="00504B72"/>
    <w:rsid w:val="005061CA"/>
    <w:rsid w:val="00507F04"/>
    <w:rsid w:val="0051063F"/>
    <w:rsid w:val="00516E20"/>
    <w:rsid w:val="005201E8"/>
    <w:rsid w:val="00520F28"/>
    <w:rsid w:val="00523498"/>
    <w:rsid w:val="00526121"/>
    <w:rsid w:val="00533EC0"/>
    <w:rsid w:val="00535FA0"/>
    <w:rsid w:val="00536079"/>
    <w:rsid w:val="005362EC"/>
    <w:rsid w:val="00540E4E"/>
    <w:rsid w:val="00541BF7"/>
    <w:rsid w:val="00541D96"/>
    <w:rsid w:val="00544E2A"/>
    <w:rsid w:val="00552281"/>
    <w:rsid w:val="005545D9"/>
    <w:rsid w:val="00556015"/>
    <w:rsid w:val="00556E27"/>
    <w:rsid w:val="00557ABC"/>
    <w:rsid w:val="00561167"/>
    <w:rsid w:val="0056137A"/>
    <w:rsid w:val="00565670"/>
    <w:rsid w:val="0056642E"/>
    <w:rsid w:val="00566E01"/>
    <w:rsid w:val="00567606"/>
    <w:rsid w:val="0057047A"/>
    <w:rsid w:val="00570DC3"/>
    <w:rsid w:val="00574BDF"/>
    <w:rsid w:val="00575428"/>
    <w:rsid w:val="00584CDE"/>
    <w:rsid w:val="00586167"/>
    <w:rsid w:val="0058682B"/>
    <w:rsid w:val="00587D23"/>
    <w:rsid w:val="00592244"/>
    <w:rsid w:val="00596B25"/>
    <w:rsid w:val="005A12EC"/>
    <w:rsid w:val="005A1481"/>
    <w:rsid w:val="005A439E"/>
    <w:rsid w:val="005A5D30"/>
    <w:rsid w:val="005A7D1E"/>
    <w:rsid w:val="005B1172"/>
    <w:rsid w:val="005B234B"/>
    <w:rsid w:val="005B376E"/>
    <w:rsid w:val="005B3B46"/>
    <w:rsid w:val="005B4CF8"/>
    <w:rsid w:val="005C16C5"/>
    <w:rsid w:val="005C5BB6"/>
    <w:rsid w:val="005D0C71"/>
    <w:rsid w:val="005D0E49"/>
    <w:rsid w:val="005D0FF1"/>
    <w:rsid w:val="005E030F"/>
    <w:rsid w:val="005E053D"/>
    <w:rsid w:val="005F0A07"/>
    <w:rsid w:val="005F238C"/>
    <w:rsid w:val="005F5F30"/>
    <w:rsid w:val="0060030D"/>
    <w:rsid w:val="00601DD7"/>
    <w:rsid w:val="00604100"/>
    <w:rsid w:val="00605689"/>
    <w:rsid w:val="00605C70"/>
    <w:rsid w:val="006070A7"/>
    <w:rsid w:val="006124C7"/>
    <w:rsid w:val="00624B8E"/>
    <w:rsid w:val="00625917"/>
    <w:rsid w:val="00630C61"/>
    <w:rsid w:val="00632E25"/>
    <w:rsid w:val="0063513A"/>
    <w:rsid w:val="00637D23"/>
    <w:rsid w:val="0064113A"/>
    <w:rsid w:val="006417F5"/>
    <w:rsid w:val="006425A7"/>
    <w:rsid w:val="00642741"/>
    <w:rsid w:val="006478DA"/>
    <w:rsid w:val="00647A7F"/>
    <w:rsid w:val="00647BE6"/>
    <w:rsid w:val="00663FAA"/>
    <w:rsid w:val="00676873"/>
    <w:rsid w:val="00677B52"/>
    <w:rsid w:val="00677CFF"/>
    <w:rsid w:val="00681163"/>
    <w:rsid w:val="00681EC8"/>
    <w:rsid w:val="00682D72"/>
    <w:rsid w:val="00684A72"/>
    <w:rsid w:val="006948C9"/>
    <w:rsid w:val="0069780B"/>
    <w:rsid w:val="006A0802"/>
    <w:rsid w:val="006A5929"/>
    <w:rsid w:val="006B27D3"/>
    <w:rsid w:val="006B2B62"/>
    <w:rsid w:val="006B2EAE"/>
    <w:rsid w:val="006B686D"/>
    <w:rsid w:val="006B70A1"/>
    <w:rsid w:val="006C0321"/>
    <w:rsid w:val="006C1675"/>
    <w:rsid w:val="006C5783"/>
    <w:rsid w:val="006C72D7"/>
    <w:rsid w:val="006D2C1F"/>
    <w:rsid w:val="006D430A"/>
    <w:rsid w:val="006D453E"/>
    <w:rsid w:val="006D5B38"/>
    <w:rsid w:val="006E1267"/>
    <w:rsid w:val="006E3A43"/>
    <w:rsid w:val="006E3B62"/>
    <w:rsid w:val="006E562E"/>
    <w:rsid w:val="006E5E8E"/>
    <w:rsid w:val="006E7AC8"/>
    <w:rsid w:val="006F3F5E"/>
    <w:rsid w:val="006F49CA"/>
    <w:rsid w:val="006F4D7D"/>
    <w:rsid w:val="006F51DF"/>
    <w:rsid w:val="006F5270"/>
    <w:rsid w:val="006F5AE7"/>
    <w:rsid w:val="006F5E25"/>
    <w:rsid w:val="006F6620"/>
    <w:rsid w:val="0070426E"/>
    <w:rsid w:val="007066B4"/>
    <w:rsid w:val="007066B7"/>
    <w:rsid w:val="00707160"/>
    <w:rsid w:val="00711060"/>
    <w:rsid w:val="00713126"/>
    <w:rsid w:val="007139A6"/>
    <w:rsid w:val="00713AA5"/>
    <w:rsid w:val="00715A5E"/>
    <w:rsid w:val="007172E3"/>
    <w:rsid w:val="0072000A"/>
    <w:rsid w:val="00721441"/>
    <w:rsid w:val="00723D4D"/>
    <w:rsid w:val="0072423A"/>
    <w:rsid w:val="00724909"/>
    <w:rsid w:val="0072495D"/>
    <w:rsid w:val="00725F5D"/>
    <w:rsid w:val="0072799F"/>
    <w:rsid w:val="00732777"/>
    <w:rsid w:val="007374C1"/>
    <w:rsid w:val="00737DDF"/>
    <w:rsid w:val="00740016"/>
    <w:rsid w:val="00741A63"/>
    <w:rsid w:val="00742DA7"/>
    <w:rsid w:val="007457CF"/>
    <w:rsid w:val="00747612"/>
    <w:rsid w:val="00751DEE"/>
    <w:rsid w:val="00755160"/>
    <w:rsid w:val="00757C12"/>
    <w:rsid w:val="0076189C"/>
    <w:rsid w:val="00761F06"/>
    <w:rsid w:val="007632A7"/>
    <w:rsid w:val="007669DF"/>
    <w:rsid w:val="00766C14"/>
    <w:rsid w:val="007703AC"/>
    <w:rsid w:val="007703B2"/>
    <w:rsid w:val="00770CB4"/>
    <w:rsid w:val="007747A6"/>
    <w:rsid w:val="00775424"/>
    <w:rsid w:val="0077696E"/>
    <w:rsid w:val="00780859"/>
    <w:rsid w:val="00783BB0"/>
    <w:rsid w:val="00784E0A"/>
    <w:rsid w:val="00785EF9"/>
    <w:rsid w:val="0078611E"/>
    <w:rsid w:val="007920C6"/>
    <w:rsid w:val="007925BD"/>
    <w:rsid w:val="007957CD"/>
    <w:rsid w:val="00797CDA"/>
    <w:rsid w:val="007A039A"/>
    <w:rsid w:val="007A4467"/>
    <w:rsid w:val="007A5135"/>
    <w:rsid w:val="007B2D08"/>
    <w:rsid w:val="007B74A4"/>
    <w:rsid w:val="007D1420"/>
    <w:rsid w:val="007D1978"/>
    <w:rsid w:val="007D1C21"/>
    <w:rsid w:val="007D1E95"/>
    <w:rsid w:val="007D5C73"/>
    <w:rsid w:val="007D67E5"/>
    <w:rsid w:val="007D7882"/>
    <w:rsid w:val="007E038D"/>
    <w:rsid w:val="007E0B67"/>
    <w:rsid w:val="007E3BB1"/>
    <w:rsid w:val="007E4E33"/>
    <w:rsid w:val="007E6A21"/>
    <w:rsid w:val="007F3D50"/>
    <w:rsid w:val="008008E9"/>
    <w:rsid w:val="00801AEC"/>
    <w:rsid w:val="00803F74"/>
    <w:rsid w:val="008047B6"/>
    <w:rsid w:val="00805A5A"/>
    <w:rsid w:val="00806E92"/>
    <w:rsid w:val="00813994"/>
    <w:rsid w:val="00822584"/>
    <w:rsid w:val="008237B4"/>
    <w:rsid w:val="00826D9E"/>
    <w:rsid w:val="0083346C"/>
    <w:rsid w:val="008341CF"/>
    <w:rsid w:val="00834BB2"/>
    <w:rsid w:val="00835523"/>
    <w:rsid w:val="008407DA"/>
    <w:rsid w:val="008413DA"/>
    <w:rsid w:val="00852468"/>
    <w:rsid w:val="00853045"/>
    <w:rsid w:val="00861098"/>
    <w:rsid w:val="0086187D"/>
    <w:rsid w:val="00862813"/>
    <w:rsid w:val="00865512"/>
    <w:rsid w:val="0087005F"/>
    <w:rsid w:val="00870FFC"/>
    <w:rsid w:val="00871709"/>
    <w:rsid w:val="0087174B"/>
    <w:rsid w:val="00874FBA"/>
    <w:rsid w:val="00875FBC"/>
    <w:rsid w:val="00877C2C"/>
    <w:rsid w:val="008831F8"/>
    <w:rsid w:val="0088607C"/>
    <w:rsid w:val="008902C8"/>
    <w:rsid w:val="008926B7"/>
    <w:rsid w:val="00894185"/>
    <w:rsid w:val="00894813"/>
    <w:rsid w:val="00894B7F"/>
    <w:rsid w:val="00894C46"/>
    <w:rsid w:val="00895DE1"/>
    <w:rsid w:val="008A5F02"/>
    <w:rsid w:val="008A6BA1"/>
    <w:rsid w:val="008B10CC"/>
    <w:rsid w:val="008B3E87"/>
    <w:rsid w:val="008B53A0"/>
    <w:rsid w:val="008B606A"/>
    <w:rsid w:val="008B68DA"/>
    <w:rsid w:val="008C060F"/>
    <w:rsid w:val="008C596D"/>
    <w:rsid w:val="008C5E0C"/>
    <w:rsid w:val="008C78E0"/>
    <w:rsid w:val="008C7B27"/>
    <w:rsid w:val="008D2945"/>
    <w:rsid w:val="008D2A6A"/>
    <w:rsid w:val="008D3878"/>
    <w:rsid w:val="008D5D32"/>
    <w:rsid w:val="008D71A0"/>
    <w:rsid w:val="008D756D"/>
    <w:rsid w:val="008E79FF"/>
    <w:rsid w:val="008F3FB9"/>
    <w:rsid w:val="008F6AD4"/>
    <w:rsid w:val="009013AA"/>
    <w:rsid w:val="00906077"/>
    <w:rsid w:val="00907FA3"/>
    <w:rsid w:val="00910448"/>
    <w:rsid w:val="00910EF6"/>
    <w:rsid w:val="00912AED"/>
    <w:rsid w:val="00914822"/>
    <w:rsid w:val="00916978"/>
    <w:rsid w:val="00916E22"/>
    <w:rsid w:val="009212F2"/>
    <w:rsid w:val="009224E1"/>
    <w:rsid w:val="00922E9A"/>
    <w:rsid w:val="00923AD9"/>
    <w:rsid w:val="0093146E"/>
    <w:rsid w:val="00931EC9"/>
    <w:rsid w:val="00933AFC"/>
    <w:rsid w:val="00934904"/>
    <w:rsid w:val="009357DF"/>
    <w:rsid w:val="009362F5"/>
    <w:rsid w:val="009372C6"/>
    <w:rsid w:val="009431B5"/>
    <w:rsid w:val="00943EBA"/>
    <w:rsid w:val="00947C07"/>
    <w:rsid w:val="00950BCD"/>
    <w:rsid w:val="00950E91"/>
    <w:rsid w:val="00955293"/>
    <w:rsid w:val="00960AE2"/>
    <w:rsid w:val="009620D6"/>
    <w:rsid w:val="00963BA4"/>
    <w:rsid w:val="00964197"/>
    <w:rsid w:val="00964D46"/>
    <w:rsid w:val="009709F9"/>
    <w:rsid w:val="00971255"/>
    <w:rsid w:val="00975AB4"/>
    <w:rsid w:val="00982B94"/>
    <w:rsid w:val="00983107"/>
    <w:rsid w:val="00983335"/>
    <w:rsid w:val="00984CD3"/>
    <w:rsid w:val="00985B0E"/>
    <w:rsid w:val="009869EF"/>
    <w:rsid w:val="00987E1F"/>
    <w:rsid w:val="00992392"/>
    <w:rsid w:val="00992CF5"/>
    <w:rsid w:val="009939D3"/>
    <w:rsid w:val="00994D32"/>
    <w:rsid w:val="00995725"/>
    <w:rsid w:val="00995C8A"/>
    <w:rsid w:val="00996604"/>
    <w:rsid w:val="00997E98"/>
    <w:rsid w:val="009A12F7"/>
    <w:rsid w:val="009A133F"/>
    <w:rsid w:val="009A3CD0"/>
    <w:rsid w:val="009B07B3"/>
    <w:rsid w:val="009B7C05"/>
    <w:rsid w:val="009C1495"/>
    <w:rsid w:val="009C4F93"/>
    <w:rsid w:val="009C6FFA"/>
    <w:rsid w:val="009D61C9"/>
    <w:rsid w:val="009D7416"/>
    <w:rsid w:val="009D7674"/>
    <w:rsid w:val="009E2286"/>
    <w:rsid w:val="009E3247"/>
    <w:rsid w:val="009E38C8"/>
    <w:rsid w:val="009E3A27"/>
    <w:rsid w:val="009E4BCC"/>
    <w:rsid w:val="009E646C"/>
    <w:rsid w:val="009E658B"/>
    <w:rsid w:val="009F45BF"/>
    <w:rsid w:val="00A00984"/>
    <w:rsid w:val="00A028BF"/>
    <w:rsid w:val="00A060B2"/>
    <w:rsid w:val="00A0799E"/>
    <w:rsid w:val="00A110D4"/>
    <w:rsid w:val="00A114D2"/>
    <w:rsid w:val="00A1388C"/>
    <w:rsid w:val="00A164BE"/>
    <w:rsid w:val="00A17555"/>
    <w:rsid w:val="00A177F6"/>
    <w:rsid w:val="00A17CA2"/>
    <w:rsid w:val="00A2105D"/>
    <w:rsid w:val="00A2117C"/>
    <w:rsid w:val="00A34414"/>
    <w:rsid w:val="00A3510A"/>
    <w:rsid w:val="00A374C4"/>
    <w:rsid w:val="00A37C65"/>
    <w:rsid w:val="00A40CE7"/>
    <w:rsid w:val="00A4292F"/>
    <w:rsid w:val="00A434CF"/>
    <w:rsid w:val="00A43E1A"/>
    <w:rsid w:val="00A45037"/>
    <w:rsid w:val="00A46C17"/>
    <w:rsid w:val="00A4705E"/>
    <w:rsid w:val="00A47FE6"/>
    <w:rsid w:val="00A52E0B"/>
    <w:rsid w:val="00A558A4"/>
    <w:rsid w:val="00A56816"/>
    <w:rsid w:val="00A65187"/>
    <w:rsid w:val="00A667E2"/>
    <w:rsid w:val="00A66EDA"/>
    <w:rsid w:val="00A71B1D"/>
    <w:rsid w:val="00A725B6"/>
    <w:rsid w:val="00A72CAE"/>
    <w:rsid w:val="00A73132"/>
    <w:rsid w:val="00A81077"/>
    <w:rsid w:val="00A81F3E"/>
    <w:rsid w:val="00A84B40"/>
    <w:rsid w:val="00A84C6F"/>
    <w:rsid w:val="00A86E9C"/>
    <w:rsid w:val="00A87080"/>
    <w:rsid w:val="00A91FF8"/>
    <w:rsid w:val="00A92CA5"/>
    <w:rsid w:val="00A94D57"/>
    <w:rsid w:val="00A97100"/>
    <w:rsid w:val="00AB08FB"/>
    <w:rsid w:val="00AB2901"/>
    <w:rsid w:val="00AB2940"/>
    <w:rsid w:val="00AB3314"/>
    <w:rsid w:val="00AB36A2"/>
    <w:rsid w:val="00AB4B44"/>
    <w:rsid w:val="00AC0BC8"/>
    <w:rsid w:val="00AC48EB"/>
    <w:rsid w:val="00AD31C9"/>
    <w:rsid w:val="00AD5D52"/>
    <w:rsid w:val="00AE5BA8"/>
    <w:rsid w:val="00AF0727"/>
    <w:rsid w:val="00AF2AD7"/>
    <w:rsid w:val="00AF3AD2"/>
    <w:rsid w:val="00AF7A0F"/>
    <w:rsid w:val="00B01E38"/>
    <w:rsid w:val="00B05A25"/>
    <w:rsid w:val="00B139A6"/>
    <w:rsid w:val="00B1620F"/>
    <w:rsid w:val="00B22AB7"/>
    <w:rsid w:val="00B256E5"/>
    <w:rsid w:val="00B26E0E"/>
    <w:rsid w:val="00B27162"/>
    <w:rsid w:val="00B32149"/>
    <w:rsid w:val="00B37F71"/>
    <w:rsid w:val="00B40FC0"/>
    <w:rsid w:val="00B4432D"/>
    <w:rsid w:val="00B44D46"/>
    <w:rsid w:val="00B46FA2"/>
    <w:rsid w:val="00B5099B"/>
    <w:rsid w:val="00B5217A"/>
    <w:rsid w:val="00B54AF2"/>
    <w:rsid w:val="00B574C6"/>
    <w:rsid w:val="00B57920"/>
    <w:rsid w:val="00B607AC"/>
    <w:rsid w:val="00B638FE"/>
    <w:rsid w:val="00B644F5"/>
    <w:rsid w:val="00B64FCD"/>
    <w:rsid w:val="00B66BC2"/>
    <w:rsid w:val="00B67F2F"/>
    <w:rsid w:val="00B71051"/>
    <w:rsid w:val="00B81BF3"/>
    <w:rsid w:val="00B830D9"/>
    <w:rsid w:val="00B84C97"/>
    <w:rsid w:val="00B94757"/>
    <w:rsid w:val="00BA1C39"/>
    <w:rsid w:val="00BA4310"/>
    <w:rsid w:val="00BA5344"/>
    <w:rsid w:val="00BA741B"/>
    <w:rsid w:val="00BB0496"/>
    <w:rsid w:val="00BB3B4C"/>
    <w:rsid w:val="00BB425C"/>
    <w:rsid w:val="00BB73CC"/>
    <w:rsid w:val="00BB79FA"/>
    <w:rsid w:val="00BC1295"/>
    <w:rsid w:val="00BC1FF6"/>
    <w:rsid w:val="00BC567C"/>
    <w:rsid w:val="00BC5F1E"/>
    <w:rsid w:val="00BD0585"/>
    <w:rsid w:val="00BD1AA4"/>
    <w:rsid w:val="00BD43D1"/>
    <w:rsid w:val="00BD5AC0"/>
    <w:rsid w:val="00BE0A0C"/>
    <w:rsid w:val="00BE20B9"/>
    <w:rsid w:val="00BE2D1A"/>
    <w:rsid w:val="00BE5FE0"/>
    <w:rsid w:val="00BF17C4"/>
    <w:rsid w:val="00BF63B2"/>
    <w:rsid w:val="00BF7F52"/>
    <w:rsid w:val="00C00CF2"/>
    <w:rsid w:val="00C1217E"/>
    <w:rsid w:val="00C126BC"/>
    <w:rsid w:val="00C17799"/>
    <w:rsid w:val="00C23EA7"/>
    <w:rsid w:val="00C2754E"/>
    <w:rsid w:val="00C31110"/>
    <w:rsid w:val="00C33391"/>
    <w:rsid w:val="00C35458"/>
    <w:rsid w:val="00C41132"/>
    <w:rsid w:val="00C423E7"/>
    <w:rsid w:val="00C43E9C"/>
    <w:rsid w:val="00C44C16"/>
    <w:rsid w:val="00C5061A"/>
    <w:rsid w:val="00C61049"/>
    <w:rsid w:val="00C63426"/>
    <w:rsid w:val="00C64E6B"/>
    <w:rsid w:val="00C719DF"/>
    <w:rsid w:val="00C722BB"/>
    <w:rsid w:val="00C751B4"/>
    <w:rsid w:val="00C8029D"/>
    <w:rsid w:val="00C81533"/>
    <w:rsid w:val="00C85BFD"/>
    <w:rsid w:val="00C87AED"/>
    <w:rsid w:val="00C9014F"/>
    <w:rsid w:val="00C90388"/>
    <w:rsid w:val="00C93F94"/>
    <w:rsid w:val="00CA1A3C"/>
    <w:rsid w:val="00CA2F5F"/>
    <w:rsid w:val="00CA3531"/>
    <w:rsid w:val="00CA3814"/>
    <w:rsid w:val="00CA5871"/>
    <w:rsid w:val="00CB29F3"/>
    <w:rsid w:val="00CB2A89"/>
    <w:rsid w:val="00CB2E60"/>
    <w:rsid w:val="00CB71F0"/>
    <w:rsid w:val="00CC440E"/>
    <w:rsid w:val="00CC4D26"/>
    <w:rsid w:val="00CD3D26"/>
    <w:rsid w:val="00CD561C"/>
    <w:rsid w:val="00CD65F5"/>
    <w:rsid w:val="00CD7E6E"/>
    <w:rsid w:val="00CE1C8D"/>
    <w:rsid w:val="00CE2AA0"/>
    <w:rsid w:val="00CE6BE1"/>
    <w:rsid w:val="00CF0BE5"/>
    <w:rsid w:val="00CF2698"/>
    <w:rsid w:val="00CF2CD0"/>
    <w:rsid w:val="00CF4906"/>
    <w:rsid w:val="00CF59EF"/>
    <w:rsid w:val="00CF69C7"/>
    <w:rsid w:val="00CF6EE8"/>
    <w:rsid w:val="00D0211C"/>
    <w:rsid w:val="00D028FA"/>
    <w:rsid w:val="00D032F3"/>
    <w:rsid w:val="00D0410E"/>
    <w:rsid w:val="00D072C1"/>
    <w:rsid w:val="00D11C76"/>
    <w:rsid w:val="00D13B81"/>
    <w:rsid w:val="00D14901"/>
    <w:rsid w:val="00D157D1"/>
    <w:rsid w:val="00D15F3D"/>
    <w:rsid w:val="00D17C48"/>
    <w:rsid w:val="00D2158B"/>
    <w:rsid w:val="00D25177"/>
    <w:rsid w:val="00D25A69"/>
    <w:rsid w:val="00D26CED"/>
    <w:rsid w:val="00D41F40"/>
    <w:rsid w:val="00D437FF"/>
    <w:rsid w:val="00D514F3"/>
    <w:rsid w:val="00D576BD"/>
    <w:rsid w:val="00D60B51"/>
    <w:rsid w:val="00D616F5"/>
    <w:rsid w:val="00D71A23"/>
    <w:rsid w:val="00D71B1B"/>
    <w:rsid w:val="00D74454"/>
    <w:rsid w:val="00D76C0B"/>
    <w:rsid w:val="00D8115E"/>
    <w:rsid w:val="00D813D2"/>
    <w:rsid w:val="00D84E7C"/>
    <w:rsid w:val="00D8562A"/>
    <w:rsid w:val="00D90195"/>
    <w:rsid w:val="00D90C37"/>
    <w:rsid w:val="00D9327E"/>
    <w:rsid w:val="00D95A3F"/>
    <w:rsid w:val="00D96394"/>
    <w:rsid w:val="00D96EAA"/>
    <w:rsid w:val="00DA273C"/>
    <w:rsid w:val="00DB10FB"/>
    <w:rsid w:val="00DB1DE1"/>
    <w:rsid w:val="00DB2E4C"/>
    <w:rsid w:val="00DB4064"/>
    <w:rsid w:val="00DB4B62"/>
    <w:rsid w:val="00DB736D"/>
    <w:rsid w:val="00DC45CB"/>
    <w:rsid w:val="00DC55C5"/>
    <w:rsid w:val="00DC65DE"/>
    <w:rsid w:val="00DD023C"/>
    <w:rsid w:val="00DD575F"/>
    <w:rsid w:val="00DD6DF6"/>
    <w:rsid w:val="00DF1CD9"/>
    <w:rsid w:val="00DF1F3B"/>
    <w:rsid w:val="00DF2798"/>
    <w:rsid w:val="00DF3F09"/>
    <w:rsid w:val="00E0609F"/>
    <w:rsid w:val="00E0752A"/>
    <w:rsid w:val="00E1403E"/>
    <w:rsid w:val="00E14FEC"/>
    <w:rsid w:val="00E15777"/>
    <w:rsid w:val="00E167CB"/>
    <w:rsid w:val="00E17E4D"/>
    <w:rsid w:val="00E22063"/>
    <w:rsid w:val="00E3113D"/>
    <w:rsid w:val="00E37002"/>
    <w:rsid w:val="00E407A1"/>
    <w:rsid w:val="00E42FA3"/>
    <w:rsid w:val="00E53C17"/>
    <w:rsid w:val="00E556F8"/>
    <w:rsid w:val="00E60926"/>
    <w:rsid w:val="00E60F8F"/>
    <w:rsid w:val="00E65174"/>
    <w:rsid w:val="00E66370"/>
    <w:rsid w:val="00E66CEC"/>
    <w:rsid w:val="00E7167E"/>
    <w:rsid w:val="00E71845"/>
    <w:rsid w:val="00E72AC4"/>
    <w:rsid w:val="00E73285"/>
    <w:rsid w:val="00E7394E"/>
    <w:rsid w:val="00E74D49"/>
    <w:rsid w:val="00E74F8F"/>
    <w:rsid w:val="00E772B7"/>
    <w:rsid w:val="00E846E2"/>
    <w:rsid w:val="00E86DBF"/>
    <w:rsid w:val="00E87BB5"/>
    <w:rsid w:val="00E87EB8"/>
    <w:rsid w:val="00E902D3"/>
    <w:rsid w:val="00E902EA"/>
    <w:rsid w:val="00E967CC"/>
    <w:rsid w:val="00EA4D86"/>
    <w:rsid w:val="00EA62DD"/>
    <w:rsid w:val="00EB00F6"/>
    <w:rsid w:val="00EB10B5"/>
    <w:rsid w:val="00EB1C70"/>
    <w:rsid w:val="00EB2788"/>
    <w:rsid w:val="00EB6206"/>
    <w:rsid w:val="00EB6BCE"/>
    <w:rsid w:val="00EC7A51"/>
    <w:rsid w:val="00EE05C4"/>
    <w:rsid w:val="00EF4B7C"/>
    <w:rsid w:val="00F00164"/>
    <w:rsid w:val="00F00885"/>
    <w:rsid w:val="00F01409"/>
    <w:rsid w:val="00F0563B"/>
    <w:rsid w:val="00F060CD"/>
    <w:rsid w:val="00F126E2"/>
    <w:rsid w:val="00F1482C"/>
    <w:rsid w:val="00F14F37"/>
    <w:rsid w:val="00F15166"/>
    <w:rsid w:val="00F207D1"/>
    <w:rsid w:val="00F21549"/>
    <w:rsid w:val="00F245F5"/>
    <w:rsid w:val="00F25092"/>
    <w:rsid w:val="00F25385"/>
    <w:rsid w:val="00F3062C"/>
    <w:rsid w:val="00F31054"/>
    <w:rsid w:val="00F316A8"/>
    <w:rsid w:val="00F31CDB"/>
    <w:rsid w:val="00F34BBE"/>
    <w:rsid w:val="00F35314"/>
    <w:rsid w:val="00F412AD"/>
    <w:rsid w:val="00F414E7"/>
    <w:rsid w:val="00F42839"/>
    <w:rsid w:val="00F44628"/>
    <w:rsid w:val="00F456D3"/>
    <w:rsid w:val="00F46059"/>
    <w:rsid w:val="00F545A8"/>
    <w:rsid w:val="00F55FAD"/>
    <w:rsid w:val="00F651B5"/>
    <w:rsid w:val="00F65716"/>
    <w:rsid w:val="00F66B3D"/>
    <w:rsid w:val="00F7357F"/>
    <w:rsid w:val="00F737AE"/>
    <w:rsid w:val="00F75B5D"/>
    <w:rsid w:val="00F76FD5"/>
    <w:rsid w:val="00F805E9"/>
    <w:rsid w:val="00F915CA"/>
    <w:rsid w:val="00F95F68"/>
    <w:rsid w:val="00F975CF"/>
    <w:rsid w:val="00FA3063"/>
    <w:rsid w:val="00FA3962"/>
    <w:rsid w:val="00FA42BF"/>
    <w:rsid w:val="00FA6CF2"/>
    <w:rsid w:val="00FB10DF"/>
    <w:rsid w:val="00FB2BC3"/>
    <w:rsid w:val="00FB7FE5"/>
    <w:rsid w:val="00FC3AEA"/>
    <w:rsid w:val="00FC466B"/>
    <w:rsid w:val="00FC49FF"/>
    <w:rsid w:val="00FD1F3C"/>
    <w:rsid w:val="00FD46D2"/>
    <w:rsid w:val="00FE13C2"/>
    <w:rsid w:val="00FE2900"/>
    <w:rsid w:val="00FE341C"/>
    <w:rsid w:val="00FE421C"/>
    <w:rsid w:val="00FE502E"/>
    <w:rsid w:val="00FE774C"/>
    <w:rsid w:val="00FF07EA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39C3"/>
  <w15:docId w15:val="{ABBC3C92-D49A-485F-953B-A321B003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1C9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F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2D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3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7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98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37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9E38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Spacing">
    <w:name w:val="No Spacing"/>
    <w:link w:val="NoSpacingChar"/>
    <w:uiPriority w:val="1"/>
    <w:qFormat/>
    <w:rsid w:val="00B256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256E5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7A6"/>
    <w:pPr>
      <w:widowControl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25A7"/>
    <w:pPr>
      <w:tabs>
        <w:tab w:val="left" w:pos="440"/>
        <w:tab w:val="right" w:leader="dot" w:pos="10070"/>
      </w:tabs>
      <w:spacing w:after="100"/>
    </w:pPr>
    <w:rPr>
      <w:rFonts w:ascii="Arial" w:eastAsia="Arial" w:hAnsi="Arial" w:cs="Arial"/>
      <w:b/>
      <w:noProof/>
      <w:sz w:val="24"/>
      <w:szCs w:val="24"/>
      <w:u w:color="00000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747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747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47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58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767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67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67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7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79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3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3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D430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67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2D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BA43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25"/>
  </w:style>
  <w:style w:type="paragraph" w:styleId="Footer">
    <w:name w:val="footer"/>
    <w:basedOn w:val="Normal"/>
    <w:link w:val="FooterChar"/>
    <w:uiPriority w:val="99"/>
    <w:unhideWhenUsed/>
    <w:rsid w:val="0033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25"/>
  </w:style>
  <w:style w:type="paragraph" w:styleId="Title">
    <w:name w:val="Title"/>
    <w:basedOn w:val="Normal"/>
    <w:next w:val="Normal"/>
    <w:link w:val="TitleChar"/>
    <w:uiPriority w:val="10"/>
    <w:qFormat/>
    <w:rsid w:val="00F73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F73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A4A1A"/>
    <w:rPr>
      <w:color w:val="808080"/>
    </w:rPr>
  </w:style>
  <w:style w:type="table" w:styleId="MediumGrid3-Accent1">
    <w:name w:val="Medium Grid 3 Accent 1"/>
    <w:basedOn w:val="TableNormal"/>
    <w:uiPriority w:val="69"/>
    <w:rsid w:val="004F6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D17C4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5">
    <w:name w:val="toc 5"/>
    <w:basedOn w:val="Normal"/>
    <w:next w:val="Normal"/>
    <w:autoRedefine/>
    <w:semiHidden/>
    <w:rsid w:val="002A52A4"/>
    <w:pPr>
      <w:widowControl/>
      <w:spacing w:after="0" w:line="240" w:lineRule="auto"/>
      <w:ind w:left="800"/>
    </w:pPr>
    <w:rPr>
      <w:rFonts w:ascii="Arial" w:eastAsia="Times New Roman" w:hAnsi="Arial" w:cs="Arial"/>
      <w:sz w:val="20"/>
      <w:szCs w:val="20"/>
    </w:rPr>
  </w:style>
  <w:style w:type="paragraph" w:customStyle="1" w:styleId="FMEATable">
    <w:name w:val="FMEA Table"/>
    <w:basedOn w:val="Normal"/>
    <w:rsid w:val="002A52A4"/>
    <w:pPr>
      <w:widowControl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MEAdata">
    <w:name w:val="FMEA data"/>
    <w:basedOn w:val="Normal"/>
    <w:rsid w:val="002A52A4"/>
    <w:pPr>
      <w:widowControl/>
      <w:spacing w:after="0" w:line="240" w:lineRule="auto"/>
    </w:pPr>
    <w:rPr>
      <w:rFonts w:ascii="Helv" w:eastAsia="Times New Roman" w:hAnsi="Helv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2A52A4"/>
    <w:pPr>
      <w:widowControl/>
      <w:spacing w:after="0" w:line="240" w:lineRule="auto"/>
    </w:pPr>
    <w:rPr>
      <w:rFonts w:ascii="Arial" w:eastAsia="Times New Roman" w:hAnsi="Arial" w:cs="Arial"/>
      <w:color w:val="000000"/>
      <w:sz w:val="16"/>
      <w:szCs w:val="20"/>
    </w:rPr>
  </w:style>
  <w:style w:type="character" w:customStyle="1" w:styleId="BodyText2Char">
    <w:name w:val="Body Text 2 Char"/>
    <w:basedOn w:val="DefaultParagraphFont"/>
    <w:link w:val="BodyText2"/>
    <w:rsid w:val="002A52A4"/>
    <w:rPr>
      <w:rFonts w:ascii="Arial" w:eastAsia="Times New Roman" w:hAnsi="Arial" w:cs="Arial"/>
      <w:color w:val="000000"/>
      <w:sz w:val="16"/>
      <w:szCs w:val="20"/>
    </w:rPr>
  </w:style>
  <w:style w:type="paragraph" w:customStyle="1" w:styleId="xl37">
    <w:name w:val="xl37"/>
    <w:basedOn w:val="Normal"/>
    <w:rsid w:val="002A52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rsid w:val="002A52A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Arial Unicode MS" w:hAnsi="Arial" w:cs="Arial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D5C7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6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6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List-Accent1">
    <w:name w:val="Light List Accent 1"/>
    <w:basedOn w:val="TableNormal"/>
    <w:uiPriority w:val="61"/>
    <w:rsid w:val="00130D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289">
              <w:marLeft w:val="0"/>
              <w:marRight w:val="0"/>
              <w:marTop w:val="0"/>
              <w:marBottom w:val="0"/>
              <w:divBdr>
                <w:top w:val="single" w:sz="2" w:space="0" w:color="B2D4D3"/>
                <w:left w:val="single" w:sz="6" w:space="0" w:color="B2D4D3"/>
                <w:bottom w:val="single" w:sz="6" w:space="0" w:color="B2D4D3"/>
                <w:right w:val="single" w:sz="6" w:space="0" w:color="B2D4D3"/>
              </w:divBdr>
              <w:divsChild>
                <w:div w:id="867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380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0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37365">
                                      <w:marLeft w:val="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5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4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2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24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0005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5" w:color="7C7C7A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0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853">
          <w:marLeft w:val="1613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086">
              <w:marLeft w:val="0"/>
              <w:marRight w:val="0"/>
              <w:marTop w:val="0"/>
              <w:marBottom w:val="0"/>
              <w:divBdr>
                <w:top w:val="single" w:sz="2" w:space="0" w:color="B2D4D3"/>
                <w:left w:val="single" w:sz="6" w:space="0" w:color="B2D4D3"/>
                <w:bottom w:val="single" w:sz="6" w:space="0" w:color="B2D4D3"/>
                <w:right w:val="single" w:sz="6" w:space="0" w:color="B2D4D3"/>
              </w:divBdr>
              <w:divsChild>
                <w:div w:id="2010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4303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7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7AB3EFFC11E44B2DF147C08B0C095" ma:contentTypeVersion="0" ma:contentTypeDescription="Create a new document." ma:contentTypeScope="" ma:versionID="6d335a0bb42c598fc022e914c52db2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C2AD6-6FE9-435C-8B82-2AAA4DC19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F75BD3-3570-4E81-9F7B-8ED2C18A4F4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C31E6B1-15C7-4873-B9C5-0E5A6BFE93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E56706-28BE-4A33-8B1A-E9EB8B2A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1350</Words>
  <Characters>7698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Prognostic Health Notification for ALINITY i Optics Dark Counts</vt:lpstr>
    </vt:vector>
  </TitlesOfParts>
  <Company>Abbott Laboratories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Prognostic Health Notification for ALINITY i Optics Dark Counts</dc:title>
  <dc:subject>ARCHITECT Immunoassay Analyzer</dc:subject>
  <dc:creator>R&amp;D Quality Engineering, Version 1.0</dc:creator>
  <cp:lastModifiedBy>Lemonidis, Deborah J</cp:lastModifiedBy>
  <cp:revision>2</cp:revision>
  <cp:lastPrinted>2016-03-21T22:28:00Z</cp:lastPrinted>
  <dcterms:created xsi:type="dcterms:W3CDTF">2019-02-15T20:04:00Z</dcterms:created>
  <dcterms:modified xsi:type="dcterms:W3CDTF">2019-02-15T20:04:00Z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0x01010089B7AB3EFFC11E44B2DF147C08B0C095</vt:lpwstr>
  </property>
</Properties>
</file>