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C4" w:rsidRDefault="00E4749A" w:rsidP="00E4749A">
      <w:pPr>
        <w:pStyle w:val="a6"/>
        <w:spacing w:line="360" w:lineRule="auto"/>
        <w:ind w:firstLine="567"/>
        <w:jc w:val="center"/>
        <w:rPr>
          <w:b/>
          <w:sz w:val="32"/>
          <w:szCs w:val="32"/>
        </w:rPr>
      </w:pPr>
      <w:r w:rsidRPr="00E4749A">
        <w:rPr>
          <w:b/>
          <w:sz w:val="32"/>
          <w:szCs w:val="32"/>
        </w:rPr>
        <w:t>Країни Західної Європи після ІІ світової війни</w:t>
      </w:r>
      <w:r>
        <w:rPr>
          <w:b/>
          <w:sz w:val="32"/>
          <w:szCs w:val="32"/>
        </w:rPr>
        <w:t>. Ч.І.</w:t>
      </w:r>
    </w:p>
    <w:p w:rsidR="00E4749A" w:rsidRDefault="00E4749A" w:rsidP="00E4749A">
      <w:pPr>
        <w:pStyle w:val="a6"/>
        <w:spacing w:line="360" w:lineRule="auto"/>
        <w:ind w:firstLine="567"/>
        <w:jc w:val="center"/>
        <w:rPr>
          <w:b/>
          <w:sz w:val="32"/>
          <w:szCs w:val="32"/>
        </w:rPr>
      </w:pPr>
    </w:p>
    <w:p w:rsidR="00E4749A" w:rsidRPr="00E4749A" w:rsidRDefault="00E4749A" w:rsidP="00E4749A">
      <w:pPr>
        <w:pStyle w:val="a6"/>
        <w:spacing w:line="360" w:lineRule="auto"/>
        <w:ind w:firstLine="567"/>
        <w:jc w:val="both"/>
        <w:rPr>
          <w:b/>
          <w:szCs w:val="28"/>
        </w:rPr>
      </w:pPr>
      <w:r w:rsidRPr="00E4749A">
        <w:rPr>
          <w:b/>
          <w:szCs w:val="28"/>
        </w:rPr>
        <w:t>1.</w:t>
      </w:r>
      <w:r>
        <w:rPr>
          <w:b/>
          <w:szCs w:val="28"/>
        </w:rPr>
        <w:t xml:space="preserve"> </w:t>
      </w:r>
      <w:r w:rsidRPr="00E4749A">
        <w:rPr>
          <w:b/>
          <w:szCs w:val="28"/>
        </w:rPr>
        <w:t>Інтеграційні процеси в Європі в другій половині XX - на початку</w:t>
      </w:r>
    </w:p>
    <w:p w:rsidR="00E4749A" w:rsidRPr="00E4749A" w:rsidRDefault="00E4749A" w:rsidP="00E4749A">
      <w:pPr>
        <w:pStyle w:val="a6"/>
        <w:spacing w:line="360" w:lineRule="auto"/>
        <w:ind w:firstLine="567"/>
        <w:jc w:val="both"/>
        <w:rPr>
          <w:szCs w:val="28"/>
        </w:rPr>
      </w:pPr>
      <w:r w:rsidRPr="00E4749A">
        <w:rPr>
          <w:szCs w:val="28"/>
        </w:rPr>
        <w:t>XXI ст. У липні 1947 р. в Парижі на нараді представників 16 європейських держа</w:t>
      </w:r>
      <w:r>
        <w:rPr>
          <w:szCs w:val="28"/>
        </w:rPr>
        <w:t>в</w:t>
      </w:r>
      <w:r w:rsidRPr="00E4749A">
        <w:rPr>
          <w:szCs w:val="28"/>
        </w:rPr>
        <w:t xml:space="preserve"> в було утворено Комітет європейського економічного співробітництва, який розпочав свою роботу в напрямку реалізації плану Маршалла. Європейська економічна інтеграція великою мірою залежала від подола</w:t>
      </w:r>
      <w:r>
        <w:rPr>
          <w:szCs w:val="28"/>
        </w:rPr>
        <w:t>ння протиріч між Францією та Ні</w:t>
      </w:r>
      <w:r w:rsidRPr="00E4749A">
        <w:rPr>
          <w:szCs w:val="28"/>
        </w:rPr>
        <w:t>меччиною, які за останні 70 років тричі воювали одна з</w:t>
      </w:r>
      <w:r>
        <w:rPr>
          <w:szCs w:val="28"/>
        </w:rPr>
        <w:t xml:space="preserve"> одною. Міністр закордон</w:t>
      </w:r>
      <w:r w:rsidRPr="00E4749A">
        <w:rPr>
          <w:szCs w:val="28"/>
        </w:rPr>
        <w:t xml:space="preserve">них справ Франції Робер </w:t>
      </w:r>
      <w:proofErr w:type="spellStart"/>
      <w:r w:rsidRPr="00E4749A">
        <w:rPr>
          <w:szCs w:val="28"/>
        </w:rPr>
        <w:t>Шуман</w:t>
      </w:r>
      <w:proofErr w:type="spellEnd"/>
      <w:r w:rsidRPr="00E4749A">
        <w:rPr>
          <w:szCs w:val="28"/>
        </w:rPr>
        <w:t xml:space="preserve"> дійшов висновку, що кращим засобом уникнути нової війни є об’єднання сталеливарної та вугільної промисловості обох країн, що зробило б неможливим таємне виробництво озброєнь (план </w:t>
      </w:r>
      <w:proofErr w:type="spellStart"/>
      <w:r w:rsidRPr="00E4749A">
        <w:rPr>
          <w:szCs w:val="28"/>
        </w:rPr>
        <w:t>Шумана</w:t>
      </w:r>
      <w:proofErr w:type="spellEnd"/>
      <w:r w:rsidRPr="00E4749A">
        <w:rPr>
          <w:szCs w:val="28"/>
        </w:rPr>
        <w:t>). Водночас можна було підвищити ефективність цих галузей. У травні 1950 р. відбулося об’єднання виробництва сталі й вугілля Франції та ФРН. У квітні 1951 р. до них приєдналися Італія, Бельгія, Нідерланди і Люкс</w:t>
      </w:r>
      <w:r>
        <w:rPr>
          <w:szCs w:val="28"/>
        </w:rPr>
        <w:t>ембург, які разом із ФРН і Фран</w:t>
      </w:r>
      <w:r w:rsidRPr="00E4749A">
        <w:rPr>
          <w:szCs w:val="28"/>
        </w:rPr>
        <w:t>цією підписали в Парижі Договір про створення Європейського об’єднання вугілля і сталі (ЄОВС).</w:t>
      </w:r>
    </w:p>
    <w:p w:rsidR="00E4749A" w:rsidRPr="00E4749A" w:rsidRDefault="00E4749A" w:rsidP="00E4749A">
      <w:pPr>
        <w:pStyle w:val="a6"/>
        <w:spacing w:line="360" w:lineRule="auto"/>
        <w:ind w:firstLine="567"/>
        <w:jc w:val="both"/>
        <w:rPr>
          <w:szCs w:val="28"/>
        </w:rPr>
      </w:pPr>
      <w:r w:rsidRPr="00E4749A">
        <w:rPr>
          <w:szCs w:val="28"/>
        </w:rPr>
        <w:t>У 1957 р. було утворено ще дві міжнародн</w:t>
      </w:r>
      <w:r>
        <w:rPr>
          <w:szCs w:val="28"/>
        </w:rPr>
        <w:t>і організації: Європейське това</w:t>
      </w:r>
      <w:r w:rsidRPr="00E4749A">
        <w:rPr>
          <w:szCs w:val="28"/>
        </w:rPr>
        <w:t>риство з атомної енергії (Євратом), покликане об’єднати зусилля його членів у сфері ядерних досліджень і використання ядерно</w:t>
      </w:r>
      <w:r>
        <w:rPr>
          <w:szCs w:val="28"/>
        </w:rPr>
        <w:t>ї енергії, та Європейське еконо</w:t>
      </w:r>
      <w:r w:rsidRPr="00E4749A">
        <w:rPr>
          <w:szCs w:val="28"/>
        </w:rPr>
        <w:t>мічне співтовариство (ЄЕС), відоме під назвою «Спільний ринок». Договір про створення ЄЕС 25 березня 1957 р. в Римі підписали 6 держав: ФРН, Франція, Італія, Бельгія, Люксембург і Нідерланди. Метою створення ЄЕС було посилення позицій європейської економіки на світовому рин</w:t>
      </w:r>
      <w:r>
        <w:rPr>
          <w:szCs w:val="28"/>
        </w:rPr>
        <w:t>ку за допомогою координації еко</w:t>
      </w:r>
      <w:r w:rsidRPr="00E4749A">
        <w:rPr>
          <w:szCs w:val="28"/>
        </w:rPr>
        <w:t>номічної політики її членів. У 1961 р. до нього намагалася приєднатися Велика Британія, проте її вступ до ЄЕС було двічі заблоковано президентом Франції Шарлем де Голлем. Вступ Великої Британії до ЄЕС відбувся тільки 1973 р. разом із Данією та Ірландією.</w:t>
      </w:r>
    </w:p>
    <w:p w:rsidR="00E4749A" w:rsidRPr="00E4749A" w:rsidRDefault="00E4749A" w:rsidP="00E4749A">
      <w:pPr>
        <w:pStyle w:val="a6"/>
        <w:spacing w:line="360" w:lineRule="auto"/>
        <w:ind w:firstLine="567"/>
        <w:jc w:val="both"/>
        <w:rPr>
          <w:szCs w:val="28"/>
        </w:rPr>
      </w:pPr>
      <w:r w:rsidRPr="00E4749A">
        <w:rPr>
          <w:szCs w:val="28"/>
        </w:rPr>
        <w:t>У 1981 р. до організації було прийнято Грецію, 1986 р. - Іспанію і Португалію, а 1995 р. - Австрію, Фінляндію і Швецію (всього 15членів).</w:t>
      </w:r>
    </w:p>
    <w:p w:rsidR="00E4749A" w:rsidRPr="00E4749A" w:rsidRDefault="00E4749A" w:rsidP="00E4749A">
      <w:pPr>
        <w:pStyle w:val="a6"/>
        <w:spacing w:line="360" w:lineRule="auto"/>
        <w:ind w:firstLine="567"/>
        <w:jc w:val="both"/>
        <w:rPr>
          <w:szCs w:val="28"/>
        </w:rPr>
      </w:pPr>
      <w:r w:rsidRPr="00E4749A">
        <w:rPr>
          <w:szCs w:val="28"/>
        </w:rPr>
        <w:t>На межі 1990-х рр. інтеграційні процеси в Європі набули нового</w:t>
      </w:r>
      <w:r>
        <w:rPr>
          <w:szCs w:val="28"/>
        </w:rPr>
        <w:t xml:space="preserve"> динамізму. </w:t>
      </w:r>
      <w:r w:rsidRPr="00E4749A">
        <w:rPr>
          <w:szCs w:val="28"/>
        </w:rPr>
        <w:t>Підготування нової інтеграційної угоди зайняло</w:t>
      </w:r>
      <w:r>
        <w:rPr>
          <w:szCs w:val="28"/>
        </w:rPr>
        <w:t xml:space="preserve"> приблизно три роки. Початок </w:t>
      </w:r>
      <w:r>
        <w:rPr>
          <w:szCs w:val="28"/>
        </w:rPr>
        <w:lastRenderedPageBreak/>
        <w:t>по</w:t>
      </w:r>
      <w:r w:rsidRPr="00E4749A">
        <w:rPr>
          <w:szCs w:val="28"/>
        </w:rPr>
        <w:t xml:space="preserve">клала сесія </w:t>
      </w:r>
      <w:proofErr w:type="spellStart"/>
      <w:r w:rsidRPr="00E4749A">
        <w:rPr>
          <w:szCs w:val="28"/>
        </w:rPr>
        <w:t>Євроради</w:t>
      </w:r>
      <w:proofErr w:type="spellEnd"/>
      <w:r w:rsidRPr="00E4749A">
        <w:rPr>
          <w:szCs w:val="28"/>
        </w:rPr>
        <w:t xml:space="preserve"> в Ганновері (27-28 червня 1988 р.), що доручила президентові Генеральної комісії ЄЕС Жаку </w:t>
      </w:r>
      <w:proofErr w:type="spellStart"/>
      <w:r w:rsidRPr="00E4749A">
        <w:rPr>
          <w:szCs w:val="28"/>
        </w:rPr>
        <w:t>Делору</w:t>
      </w:r>
      <w:proofErr w:type="spellEnd"/>
      <w:r w:rsidRPr="00E4749A">
        <w:rPr>
          <w:szCs w:val="28"/>
        </w:rPr>
        <w:t xml:space="preserve"> «вивчити й підго</w:t>
      </w:r>
      <w:r>
        <w:rPr>
          <w:szCs w:val="28"/>
        </w:rPr>
        <w:t>тувати пропозиції щодо кон</w:t>
      </w:r>
      <w:r w:rsidRPr="00E4749A">
        <w:rPr>
          <w:szCs w:val="28"/>
        </w:rPr>
        <w:t>кретних етапів, які ведуть до економічного та валютного союзу». Проект Договору про Європейський Союз було опубліковано 17 квітня 1989 р.</w:t>
      </w:r>
    </w:p>
    <w:p w:rsidR="00E4749A" w:rsidRDefault="00E4749A" w:rsidP="00E4749A">
      <w:pPr>
        <w:pStyle w:val="a6"/>
        <w:spacing w:line="360" w:lineRule="auto"/>
        <w:ind w:firstLine="567"/>
        <w:jc w:val="both"/>
        <w:rPr>
          <w:szCs w:val="28"/>
        </w:rPr>
      </w:pPr>
      <w:r w:rsidRPr="00E4749A">
        <w:rPr>
          <w:szCs w:val="28"/>
        </w:rPr>
        <w:t>Після цього текст угоди тричі обговорював</w:t>
      </w:r>
      <w:r>
        <w:rPr>
          <w:szCs w:val="28"/>
        </w:rPr>
        <w:t xml:space="preserve">ся на сесіях Європейської ради. </w:t>
      </w:r>
      <w:r w:rsidRPr="00E4749A">
        <w:rPr>
          <w:szCs w:val="28"/>
        </w:rPr>
        <w:t>7</w:t>
      </w:r>
      <w:r>
        <w:rPr>
          <w:szCs w:val="28"/>
        </w:rPr>
        <w:t> </w:t>
      </w:r>
      <w:r w:rsidRPr="00E4749A">
        <w:rPr>
          <w:szCs w:val="28"/>
        </w:rPr>
        <w:t xml:space="preserve">лютого 1992 р. в нідерландському м. </w:t>
      </w:r>
      <w:proofErr w:type="spellStart"/>
      <w:r w:rsidRPr="00E4749A">
        <w:rPr>
          <w:szCs w:val="28"/>
        </w:rPr>
        <w:t>Маастр</w:t>
      </w:r>
      <w:r>
        <w:rPr>
          <w:szCs w:val="28"/>
        </w:rPr>
        <w:t>ихт</w:t>
      </w:r>
      <w:proofErr w:type="spellEnd"/>
      <w:r>
        <w:rPr>
          <w:szCs w:val="28"/>
        </w:rPr>
        <w:t>, на стику кордонів Нідерлан</w:t>
      </w:r>
      <w:r w:rsidRPr="00E4749A">
        <w:rPr>
          <w:szCs w:val="28"/>
        </w:rPr>
        <w:t>дів, Бельгії та ФРН, міністри закордонних справ і міністри фінансів країн - членів ЄЕС (Бельгії, Данії, Люксембургу, Нідерландів, Іспанії, Італії, Ірландії, Португалії, Греції, Франції, Німеччини, Великої Британії) підписали Договір про Європейський Союз, що передбачав поетапну трансформацію ЄЕС у новий економічний, валютний, а в перспективі - політичний Європейський Союз.</w:t>
      </w:r>
    </w:p>
    <w:p w:rsidR="00E4749A" w:rsidRPr="00E4749A" w:rsidRDefault="00E4749A" w:rsidP="00E4749A">
      <w:pPr>
        <w:pStyle w:val="a6"/>
        <w:spacing w:line="360" w:lineRule="auto"/>
        <w:ind w:firstLine="567"/>
        <w:jc w:val="both"/>
        <w:rPr>
          <w:szCs w:val="28"/>
        </w:rPr>
      </w:pPr>
      <w:r w:rsidRPr="00E4749A">
        <w:rPr>
          <w:szCs w:val="28"/>
        </w:rPr>
        <w:t>Договором були закріплені 5 критеріїв, яких повинні були дотримуватись країни, які вступали у Європейський валютний союз:</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дефіцит державного бюджету не вищий 3 % ВВП;</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державний борг нижчий 60 % ВВП; врівень інфляції до 2,6 % ВВП;</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дворічне узгоджене обмеження коливань національної валюти;</w:t>
      </w:r>
    </w:p>
    <w:p w:rsidR="00E4749A" w:rsidRDefault="00E4749A" w:rsidP="00E4749A">
      <w:pPr>
        <w:pStyle w:val="a6"/>
        <w:spacing w:line="360" w:lineRule="auto"/>
        <w:ind w:firstLine="567"/>
        <w:jc w:val="both"/>
        <w:rPr>
          <w:szCs w:val="28"/>
        </w:rPr>
      </w:pPr>
      <w:r w:rsidRPr="00E4749A">
        <w:rPr>
          <w:szCs w:val="28"/>
        </w:rPr>
        <w:t>►</w:t>
      </w:r>
      <w:r w:rsidRPr="00E4749A">
        <w:rPr>
          <w:szCs w:val="28"/>
        </w:rPr>
        <w:tab/>
        <w:t>довгострокові процентні ставки за державними облігаціями не повинні перевищувати середнє значення відповідних ставок у країнах з найниж</w:t>
      </w:r>
      <w:r>
        <w:rPr>
          <w:szCs w:val="28"/>
        </w:rPr>
        <w:t>чою інфляцією більш ніж на 2 %.</w:t>
      </w:r>
    </w:p>
    <w:p w:rsidR="00E4749A" w:rsidRPr="00E4749A" w:rsidRDefault="00E4749A" w:rsidP="00E4749A">
      <w:pPr>
        <w:pStyle w:val="a6"/>
        <w:spacing w:line="360" w:lineRule="auto"/>
        <w:ind w:firstLine="567"/>
        <w:jc w:val="both"/>
        <w:rPr>
          <w:szCs w:val="28"/>
        </w:rPr>
      </w:pPr>
      <w:r w:rsidRPr="00E4749A">
        <w:rPr>
          <w:szCs w:val="28"/>
        </w:rPr>
        <w:t>Також передбачалися часткова відмова країн-учасниць від суверенітету у сфері зовнішньої та воєнної політики, розширення п</w:t>
      </w:r>
      <w:r>
        <w:rPr>
          <w:szCs w:val="28"/>
        </w:rPr>
        <w:t>рав основних інституцій Європей</w:t>
      </w:r>
      <w:r w:rsidRPr="00E4749A">
        <w:rPr>
          <w:szCs w:val="28"/>
        </w:rPr>
        <w:t>ського Союзу: Ради міністрів Європарламенту, Комісії європейських товариств, збільшення наднаціональних повноважень ЄС у ца</w:t>
      </w:r>
      <w:r>
        <w:rPr>
          <w:szCs w:val="28"/>
        </w:rPr>
        <w:t>рині соціальної політики, охоро</w:t>
      </w:r>
      <w:r w:rsidRPr="00E4749A">
        <w:rPr>
          <w:szCs w:val="28"/>
        </w:rPr>
        <w:t>ни навколишнього середовища, промисловості, культури, охорони здоров’я. Після ратифікації всіма країнами-учасницями договору він набув чинності в листопаді 1993 р., завершивши цим самим перший етап інтеграції Євросоюзу.</w:t>
      </w:r>
    </w:p>
    <w:p w:rsidR="00E4749A" w:rsidRPr="00E4749A" w:rsidRDefault="00E4749A" w:rsidP="00E4749A">
      <w:pPr>
        <w:pStyle w:val="a6"/>
        <w:spacing w:line="360" w:lineRule="auto"/>
        <w:ind w:firstLine="567"/>
        <w:jc w:val="both"/>
        <w:rPr>
          <w:szCs w:val="28"/>
        </w:rPr>
      </w:pPr>
      <w:r>
        <w:rPr>
          <w:szCs w:val="28"/>
        </w:rPr>
        <w:t>Другий етап інтеграції (1994-</w:t>
      </w:r>
      <w:r w:rsidRPr="00E4749A">
        <w:rPr>
          <w:szCs w:val="28"/>
        </w:rPr>
        <w:t>1998 рр.) пов’язаний із заснуванням Європ</w:t>
      </w:r>
      <w:r>
        <w:rPr>
          <w:szCs w:val="28"/>
        </w:rPr>
        <w:t>ей</w:t>
      </w:r>
      <w:r w:rsidRPr="00E4749A">
        <w:rPr>
          <w:szCs w:val="28"/>
        </w:rPr>
        <w:t xml:space="preserve">ського валютного інституту (ЄВІ) та Європейського центрального банку (ЄЦБ), створенням правових, організаційних та матеріально-технічних передумов </w:t>
      </w:r>
      <w:r>
        <w:rPr>
          <w:szCs w:val="28"/>
        </w:rPr>
        <w:lastRenderedPageBreak/>
        <w:t>для ста</w:t>
      </w:r>
      <w:r w:rsidRPr="00E4749A">
        <w:rPr>
          <w:szCs w:val="28"/>
        </w:rPr>
        <w:t>білізації національних економічних валютних курсів.</w:t>
      </w:r>
    </w:p>
    <w:p w:rsidR="00E4749A" w:rsidRDefault="00E4749A" w:rsidP="00E4749A">
      <w:pPr>
        <w:pStyle w:val="a6"/>
        <w:spacing w:line="360" w:lineRule="auto"/>
        <w:ind w:firstLine="567"/>
        <w:jc w:val="both"/>
        <w:rPr>
          <w:szCs w:val="28"/>
        </w:rPr>
      </w:pPr>
      <w:r w:rsidRPr="00E4749A">
        <w:rPr>
          <w:szCs w:val="28"/>
        </w:rPr>
        <w:t>На третьому етапі, що розпочався із січня 199</w:t>
      </w:r>
      <w:r>
        <w:rPr>
          <w:szCs w:val="28"/>
        </w:rPr>
        <w:t>9 р., відбувається запроваджен</w:t>
      </w:r>
      <w:r w:rsidRPr="00E4749A">
        <w:rPr>
          <w:szCs w:val="28"/>
        </w:rPr>
        <w:t>ня спільної валюти (євро) та розробляється меха</w:t>
      </w:r>
      <w:r>
        <w:rPr>
          <w:szCs w:val="28"/>
        </w:rPr>
        <w:t>нізм контролю за виконанням дер</w:t>
      </w:r>
      <w:r w:rsidRPr="00E4749A">
        <w:rPr>
          <w:szCs w:val="28"/>
        </w:rPr>
        <w:t>жавних бюджетів шляхом забезпечення незалежності від урядів національних центральних банків, завершується створення єдиних управлінських структур ЄЄ з метою створення конфедерації. Але невдача і</w:t>
      </w:r>
      <w:r>
        <w:rPr>
          <w:szCs w:val="28"/>
        </w:rPr>
        <w:t>з ратифікацією Європейської кон</w:t>
      </w:r>
      <w:r w:rsidRPr="00E4749A">
        <w:rPr>
          <w:szCs w:val="28"/>
        </w:rPr>
        <w:t>ституції (її було заблоковано у 2005 р. Францією та Нідерландами) поставила під сумнів перспективу реалізації цього задуму.</w:t>
      </w:r>
    </w:p>
    <w:p w:rsidR="00E4749A" w:rsidRPr="00E4749A" w:rsidRDefault="00E4749A" w:rsidP="00E4749A">
      <w:pPr>
        <w:pStyle w:val="a6"/>
        <w:spacing w:line="360" w:lineRule="auto"/>
        <w:ind w:firstLine="567"/>
        <w:jc w:val="both"/>
        <w:rPr>
          <w:szCs w:val="28"/>
        </w:rPr>
      </w:pPr>
      <w:r w:rsidRPr="00E4749A">
        <w:rPr>
          <w:szCs w:val="28"/>
        </w:rPr>
        <w:t>Після виходу зі складу Євросоюзу Великої Британії, у</w:t>
      </w:r>
      <w:r>
        <w:rPr>
          <w:szCs w:val="28"/>
        </w:rPr>
        <w:t xml:space="preserve"> ньому залишиться 27 дер</w:t>
      </w:r>
      <w:r w:rsidRPr="00E4749A">
        <w:rPr>
          <w:szCs w:val="28"/>
        </w:rPr>
        <w:t>жав: Австрія, Бельгія, Болгарія, Угорщина, Німеччина, Греція, Данія (у 1985 р. із складу ЄС вийшла її автономія - Гренландія), Ірландія, Іспанія, Італія, Кіпр, Латвія, Литва, Люксембург, Мальта, Нідерланди, Польща, Португалія, Румунія, Словенія, Словаччина, Фінляндія, Франція, Хорватія, Чех</w:t>
      </w:r>
      <w:r>
        <w:rPr>
          <w:szCs w:val="28"/>
        </w:rPr>
        <w:t>ія, Швеція і Естонія. Країнами-</w:t>
      </w:r>
      <w:r w:rsidRPr="00E4749A">
        <w:rPr>
          <w:szCs w:val="28"/>
        </w:rPr>
        <w:t>претендентами вважаються: Сербія, Чорногорія, Республіка Північна Македонія, Туреччина і Албанія.</w:t>
      </w:r>
    </w:p>
    <w:p w:rsidR="00E4749A" w:rsidRPr="00E4749A" w:rsidRDefault="00E4749A" w:rsidP="00E4749A">
      <w:pPr>
        <w:pStyle w:val="a6"/>
        <w:spacing w:line="360" w:lineRule="auto"/>
        <w:ind w:firstLine="567"/>
        <w:jc w:val="both"/>
        <w:rPr>
          <w:szCs w:val="28"/>
        </w:rPr>
      </w:pPr>
      <w:r w:rsidRPr="00E4749A">
        <w:rPr>
          <w:szCs w:val="28"/>
        </w:rPr>
        <w:t>Серед країн, які підписали Угоду про асоціацію з ЄС, є Україна, Гр</w:t>
      </w:r>
      <w:r>
        <w:rPr>
          <w:szCs w:val="28"/>
        </w:rPr>
        <w:t>узія, Республі</w:t>
      </w:r>
      <w:r w:rsidRPr="00E4749A">
        <w:rPr>
          <w:szCs w:val="28"/>
        </w:rPr>
        <w:t>ка Молдова.</w:t>
      </w:r>
    </w:p>
    <w:p w:rsidR="00E4749A" w:rsidRPr="00E4749A" w:rsidRDefault="00E4749A" w:rsidP="00E4749A">
      <w:pPr>
        <w:pStyle w:val="a6"/>
        <w:spacing w:line="360" w:lineRule="auto"/>
        <w:ind w:firstLine="567"/>
        <w:jc w:val="both"/>
        <w:rPr>
          <w:szCs w:val="28"/>
        </w:rPr>
      </w:pPr>
      <w:r w:rsidRPr="00E4749A">
        <w:rPr>
          <w:szCs w:val="28"/>
        </w:rPr>
        <w:t>У зоні Євросоюзу діють узгоджені норми закон</w:t>
      </w:r>
      <w:r>
        <w:rPr>
          <w:szCs w:val="28"/>
        </w:rPr>
        <w:t>ів, що забезпечують вільне пере</w:t>
      </w:r>
      <w:r w:rsidRPr="00E4749A">
        <w:rPr>
          <w:szCs w:val="28"/>
        </w:rPr>
        <w:t>міщення людей, товарів та послуг. Вироблені принци</w:t>
      </w:r>
      <w:r>
        <w:rPr>
          <w:szCs w:val="28"/>
        </w:rPr>
        <w:t>пи спільної зовнішньої і оборон</w:t>
      </w:r>
      <w:r w:rsidRPr="00E4749A">
        <w:rPr>
          <w:szCs w:val="28"/>
        </w:rPr>
        <w:t>ної політики. 17 країн користуються єдиною валютою (євро). Між 22-ма державами, що підписали між собою відповідну (Шенгенську) угоду, діє спрощений паспортний і митний контроль.</w:t>
      </w:r>
    </w:p>
    <w:p w:rsidR="00E4749A" w:rsidRPr="00E4749A" w:rsidRDefault="00E4749A" w:rsidP="00E4749A">
      <w:pPr>
        <w:pStyle w:val="a6"/>
        <w:spacing w:line="360" w:lineRule="auto"/>
        <w:ind w:firstLine="567"/>
        <w:jc w:val="both"/>
        <w:rPr>
          <w:szCs w:val="28"/>
        </w:rPr>
      </w:pPr>
      <w:r w:rsidRPr="00E4749A">
        <w:rPr>
          <w:szCs w:val="28"/>
        </w:rPr>
        <w:t>СТРУКТУРА ЄВРОСОЮЗУ:</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Вищий політичний орган (Рада Євросоюзу</w:t>
      </w:r>
      <w:r>
        <w:rPr>
          <w:szCs w:val="28"/>
        </w:rPr>
        <w:t>). Складається з керівників дер</w:t>
      </w:r>
      <w:r w:rsidRPr="00E4749A">
        <w:rPr>
          <w:szCs w:val="28"/>
        </w:rPr>
        <w:t>жав і урядів, а також міністрів іноземних справ країн-членів;</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Вищий законодавчий орган (Європарламент</w:t>
      </w:r>
      <w:r>
        <w:rPr>
          <w:szCs w:val="28"/>
        </w:rPr>
        <w:t>) обирається (за квотами, відпо</w:t>
      </w:r>
      <w:r w:rsidRPr="00E4749A">
        <w:rPr>
          <w:szCs w:val="28"/>
        </w:rPr>
        <w:t xml:space="preserve">відно до кількості населення) громадянами ЄС </w:t>
      </w:r>
      <w:r>
        <w:rPr>
          <w:szCs w:val="28"/>
        </w:rPr>
        <w:t>на 5 років. Голова Європарламен</w:t>
      </w:r>
      <w:r w:rsidRPr="00E4749A">
        <w:rPr>
          <w:szCs w:val="28"/>
        </w:rPr>
        <w:t>ту обирається на 2,5 року;</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Вищий виконавчий орган - Єврокомісія.</w:t>
      </w:r>
    </w:p>
    <w:p w:rsidR="00E4749A" w:rsidRDefault="00E4749A" w:rsidP="00E4749A">
      <w:pPr>
        <w:pStyle w:val="a6"/>
        <w:spacing w:line="360" w:lineRule="auto"/>
        <w:ind w:firstLine="567"/>
        <w:jc w:val="both"/>
        <w:rPr>
          <w:szCs w:val="28"/>
        </w:rPr>
      </w:pPr>
      <w:r w:rsidRPr="00E4749A">
        <w:rPr>
          <w:szCs w:val="28"/>
        </w:rPr>
        <w:t xml:space="preserve">Європейський Союз одночасно поєднує в собі ознаки міжнародної організації і держави. Таке становище продиктоване трьома можливими рівнями </w:t>
      </w:r>
      <w:r w:rsidRPr="00E4749A">
        <w:rPr>
          <w:szCs w:val="28"/>
        </w:rPr>
        <w:lastRenderedPageBreak/>
        <w:t>інтеграції: членство в ЄС, членство в зоні дії запровадженої в 1999 р. єдиної валюти (євро) і повна або часткова участь у Шенгенській зоні. Наприклад, Данія і Швеція не стали вступати в зону євро; Норвегія, Ісландія і Швейцар</w:t>
      </w:r>
      <w:r>
        <w:rPr>
          <w:szCs w:val="28"/>
        </w:rPr>
        <w:t>ія не є членами ЄС, однак вхо</w:t>
      </w:r>
      <w:r w:rsidRPr="00E4749A">
        <w:rPr>
          <w:szCs w:val="28"/>
        </w:rPr>
        <w:t>дять</w:t>
      </w:r>
      <w:r>
        <w:rPr>
          <w:szCs w:val="28"/>
        </w:rPr>
        <w:t xml:space="preserve"> </w:t>
      </w:r>
      <w:r w:rsidRPr="00E4749A">
        <w:rPr>
          <w:szCs w:val="28"/>
        </w:rPr>
        <w:t>до Шенгенської зони, а в Чорногорії платіжним засобом служить євро.</w:t>
      </w:r>
    </w:p>
    <w:p w:rsidR="00E4749A" w:rsidRPr="00E4749A" w:rsidRDefault="00E4749A" w:rsidP="00E4749A">
      <w:pPr>
        <w:pStyle w:val="a6"/>
        <w:spacing w:line="360" w:lineRule="auto"/>
        <w:ind w:firstLine="567"/>
        <w:jc w:val="both"/>
        <w:rPr>
          <w:szCs w:val="28"/>
        </w:rPr>
      </w:pPr>
      <w:r w:rsidRPr="00E4749A">
        <w:rPr>
          <w:szCs w:val="28"/>
        </w:rPr>
        <w:t>На території Євросоюзу виготовляється близьк</w:t>
      </w:r>
      <w:r>
        <w:rPr>
          <w:szCs w:val="28"/>
        </w:rPr>
        <w:t>о 21 % світової промислової про</w:t>
      </w:r>
      <w:r w:rsidRPr="00E4749A">
        <w:rPr>
          <w:szCs w:val="28"/>
        </w:rPr>
        <w:t>дукції, тут же містяться головні офіси 161 з 500 найбільших за прибутками світових компаній.</w:t>
      </w:r>
    </w:p>
    <w:p w:rsidR="00E4749A" w:rsidRPr="00E4749A" w:rsidRDefault="00E4749A" w:rsidP="00E4749A">
      <w:pPr>
        <w:pStyle w:val="a6"/>
        <w:spacing w:line="360" w:lineRule="auto"/>
        <w:ind w:firstLine="567"/>
        <w:jc w:val="both"/>
        <w:rPr>
          <w:szCs w:val="28"/>
        </w:rPr>
      </w:pPr>
      <w:r w:rsidRPr="00E4749A">
        <w:rPr>
          <w:szCs w:val="28"/>
        </w:rPr>
        <w:t>Європейський Союз має свій прапор (12 зол</w:t>
      </w:r>
      <w:r>
        <w:rPr>
          <w:szCs w:val="28"/>
        </w:rPr>
        <w:t>отих п’ятикутних зірок на темно-бл</w:t>
      </w:r>
      <w:r w:rsidRPr="00E4749A">
        <w:rPr>
          <w:szCs w:val="28"/>
        </w:rPr>
        <w:t>акитному тлі). У 2004 р. було підписано Конституцію, але вона не набрала чинності, оскільки її не ратифікували уряди Франції і Нідер</w:t>
      </w:r>
      <w:r>
        <w:rPr>
          <w:szCs w:val="28"/>
        </w:rPr>
        <w:t>ландів, і була замінена Лісабон</w:t>
      </w:r>
      <w:r w:rsidRPr="00E4749A">
        <w:rPr>
          <w:szCs w:val="28"/>
        </w:rPr>
        <w:t>ським договором, прийнятим у 2007 р. Лісабонський договір поклав початок існуванню «нового» ЄС. Зараз в організацію входять 27 членів. Система установчих документів «нового» ЄС складається з короткого док</w:t>
      </w:r>
      <w:r>
        <w:rPr>
          <w:szCs w:val="28"/>
        </w:rPr>
        <w:t>умента, який зберіг назву «Дого</w:t>
      </w:r>
      <w:r w:rsidRPr="00E4749A">
        <w:rPr>
          <w:szCs w:val="28"/>
        </w:rPr>
        <w:t>вір про Європейський Союз» (55 статей), і великог</w:t>
      </w:r>
      <w:r>
        <w:rPr>
          <w:szCs w:val="28"/>
        </w:rPr>
        <w:t>о документа, що має назву «Дого</w:t>
      </w:r>
      <w:r w:rsidRPr="00E4749A">
        <w:rPr>
          <w:szCs w:val="28"/>
        </w:rPr>
        <w:t>вір про функціонування Європейського Союзу» (3</w:t>
      </w:r>
      <w:r>
        <w:rPr>
          <w:szCs w:val="28"/>
        </w:rPr>
        <w:t>58 статей). ЄС установлює різно</w:t>
      </w:r>
      <w:r w:rsidRPr="00E4749A">
        <w:rPr>
          <w:szCs w:val="28"/>
        </w:rPr>
        <w:t>бічні контакти з іншими регіональними організаціями, має угоди з асоційованими членами - країнами Африки, Ізраїлем, країнами Схі</w:t>
      </w:r>
      <w:r>
        <w:rPr>
          <w:szCs w:val="28"/>
        </w:rPr>
        <w:t>дної Європи - і стає дедалі важ</w:t>
      </w:r>
      <w:r w:rsidRPr="00E4749A">
        <w:rPr>
          <w:szCs w:val="28"/>
        </w:rPr>
        <w:t>ливішим фактором світової політики.</w:t>
      </w:r>
    </w:p>
    <w:p w:rsidR="00E4749A" w:rsidRPr="00E4749A" w:rsidRDefault="00E4749A" w:rsidP="00E4749A">
      <w:pPr>
        <w:pStyle w:val="a6"/>
        <w:spacing w:line="360" w:lineRule="auto"/>
        <w:ind w:firstLine="567"/>
        <w:jc w:val="both"/>
        <w:rPr>
          <w:szCs w:val="28"/>
        </w:rPr>
      </w:pPr>
      <w:r w:rsidRPr="00E4749A">
        <w:rPr>
          <w:szCs w:val="28"/>
        </w:rPr>
        <w:t>Іншою впливовою європейською організацією вважають Раду Європи (РЄ) - міжнародну міжурядову організацію, створену 5 травня 1949 р. в Лондоні. Серед країн-засновниць РЄ: Бельгія, Велика Британія, Данія, Ірландія, Італія, Люксембург, Нідерланди, Норвегія, Франція. Головними органам</w:t>
      </w:r>
      <w:r>
        <w:rPr>
          <w:szCs w:val="28"/>
        </w:rPr>
        <w:t>и РЄ є: Комітет міністрів закор</w:t>
      </w:r>
      <w:r w:rsidRPr="00E4749A">
        <w:rPr>
          <w:szCs w:val="28"/>
        </w:rPr>
        <w:t>донних справ країн-членів Ради Європи і Консультативна парламентська асамблея. Комітет на основі принципу одностайності виробляє політичні рекомендації урядам країн-членів Ради Європи, які, між іншим, підлягають ратифікації парламентами. Консультативна парламентська асамблея РЄ обговорює та ухвалює біл</w:t>
      </w:r>
      <w:r>
        <w:rPr>
          <w:szCs w:val="28"/>
        </w:rPr>
        <w:t>ьшістю голо</w:t>
      </w:r>
      <w:r w:rsidRPr="00E4749A">
        <w:rPr>
          <w:szCs w:val="28"/>
        </w:rPr>
        <w:t>сів рекомендації Комітету міністрів закордонних справ. Цікаво, що в роботі Асамблеї від кожної країни-учасниці обов’язково беруть участь і представники парламентської більшості, і делегати від опозиції. При Раді Європи функціонують:</w:t>
      </w:r>
    </w:p>
    <w:p w:rsidR="00E4749A" w:rsidRPr="00E4749A" w:rsidRDefault="00E4749A" w:rsidP="00E4749A">
      <w:pPr>
        <w:pStyle w:val="a6"/>
        <w:spacing w:line="360" w:lineRule="auto"/>
        <w:ind w:firstLine="567"/>
        <w:jc w:val="both"/>
        <w:rPr>
          <w:szCs w:val="28"/>
        </w:rPr>
      </w:pPr>
      <w:r w:rsidRPr="00E4749A">
        <w:rPr>
          <w:szCs w:val="28"/>
        </w:rPr>
        <w:lastRenderedPageBreak/>
        <w:t>►</w:t>
      </w:r>
      <w:r w:rsidRPr="00E4749A">
        <w:rPr>
          <w:szCs w:val="28"/>
        </w:rPr>
        <w:tab/>
        <w:t>Європейська комісія з прав людини;</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Європейський суд із прав людини;</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Європейський центр молоді;</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Європейський молодіжний фонд;</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Інформаційний центр охорони природи.</w:t>
      </w:r>
    </w:p>
    <w:p w:rsidR="00E4749A" w:rsidRPr="00E4749A" w:rsidRDefault="00E4749A" w:rsidP="00E4749A">
      <w:pPr>
        <w:pStyle w:val="a6"/>
        <w:spacing w:line="360" w:lineRule="auto"/>
        <w:ind w:firstLine="567"/>
        <w:jc w:val="both"/>
        <w:rPr>
          <w:szCs w:val="28"/>
        </w:rPr>
      </w:pPr>
      <w:r w:rsidRPr="00E4749A">
        <w:rPr>
          <w:szCs w:val="28"/>
        </w:rPr>
        <w:t>Основні органи Ради Європи розміщено у Страсбурзі (Франція). Упродовж довгих років РЄ була маловпливовою інституцією, роль якої значно зросла лише наприкінці 1980 - на початку 1990-х рр. у зв’язку з геополітичн</w:t>
      </w:r>
      <w:r>
        <w:rPr>
          <w:szCs w:val="28"/>
        </w:rPr>
        <w:t>ими змінами у світі та з приско</w:t>
      </w:r>
      <w:r w:rsidRPr="00E4749A">
        <w:rPr>
          <w:szCs w:val="28"/>
        </w:rPr>
        <w:t>ренням процесу євроінтеграції. Членом Ради Європи в 1995 р. стала й Україна.</w:t>
      </w:r>
    </w:p>
    <w:p w:rsidR="00E4749A" w:rsidRPr="00E4749A" w:rsidRDefault="00E4749A" w:rsidP="00E4749A">
      <w:pPr>
        <w:pStyle w:val="a6"/>
        <w:spacing w:line="360" w:lineRule="auto"/>
        <w:ind w:firstLine="567"/>
        <w:jc w:val="both"/>
        <w:rPr>
          <w:b/>
          <w:szCs w:val="28"/>
        </w:rPr>
      </w:pPr>
      <w:r w:rsidRPr="00E4749A">
        <w:rPr>
          <w:b/>
          <w:szCs w:val="28"/>
        </w:rPr>
        <w:t>2</w:t>
      </w:r>
      <w:r w:rsidRPr="00E4749A">
        <w:rPr>
          <w:b/>
          <w:szCs w:val="28"/>
        </w:rPr>
        <w:tab/>
        <w:t>. Тенденції повоєнного розвитку партійних систем.</w:t>
      </w:r>
    </w:p>
    <w:p w:rsidR="00E4749A" w:rsidRPr="00E4749A" w:rsidRDefault="00E4749A" w:rsidP="00E4749A">
      <w:pPr>
        <w:pStyle w:val="a6"/>
        <w:spacing w:line="360" w:lineRule="auto"/>
        <w:ind w:firstLine="567"/>
        <w:jc w:val="both"/>
        <w:rPr>
          <w:szCs w:val="28"/>
        </w:rPr>
      </w:pPr>
      <w:r>
        <w:rPr>
          <w:szCs w:val="28"/>
        </w:rPr>
        <w:t xml:space="preserve"> Одразу ж після Дру</w:t>
      </w:r>
      <w:r w:rsidRPr="00E4749A">
        <w:rPr>
          <w:szCs w:val="28"/>
        </w:rPr>
        <w:t>гої світової війни стало зрозуміло, що традиційна концепція політичних партій як захисників і виразників інтересів певних конкре</w:t>
      </w:r>
      <w:r>
        <w:rPr>
          <w:szCs w:val="28"/>
        </w:rPr>
        <w:t>тних, вузько окреслених соціаль</w:t>
      </w:r>
      <w:r w:rsidRPr="00E4749A">
        <w:rPr>
          <w:szCs w:val="28"/>
        </w:rPr>
        <w:t>них груп (робітників, буржуазії, релігійних общин) більше не відповідає вимогам часу, точніше - вимогам збереження недоторканності ладу, заснованого на ринковій економіці. «Праві» радикальні партії скомпром</w:t>
      </w:r>
      <w:r>
        <w:rPr>
          <w:szCs w:val="28"/>
        </w:rPr>
        <w:t>етували себе активним або пасив</w:t>
      </w:r>
      <w:r w:rsidRPr="00E4749A">
        <w:rPr>
          <w:szCs w:val="28"/>
        </w:rPr>
        <w:t>ним співробітництвом із нацистами, натомість посилилися симпатії до комуністів (Франція, Італія). Отже, необхідно було також шу</w:t>
      </w:r>
      <w:r>
        <w:rPr>
          <w:szCs w:val="28"/>
        </w:rPr>
        <w:t>кати шлях відходу і від жорстко</w:t>
      </w:r>
      <w:r w:rsidRPr="00E4749A">
        <w:rPr>
          <w:szCs w:val="28"/>
        </w:rPr>
        <w:t>го поділу на «правих» і «лівих».</w:t>
      </w:r>
    </w:p>
    <w:p w:rsidR="00E4749A" w:rsidRPr="00E4749A" w:rsidRDefault="00E4749A" w:rsidP="00E4749A">
      <w:pPr>
        <w:pStyle w:val="a6"/>
        <w:spacing w:line="360" w:lineRule="auto"/>
        <w:ind w:firstLine="567"/>
        <w:jc w:val="both"/>
        <w:rPr>
          <w:szCs w:val="28"/>
        </w:rPr>
      </w:pPr>
      <w:r w:rsidRPr="00E4749A">
        <w:rPr>
          <w:szCs w:val="28"/>
        </w:rPr>
        <w:t>Види політичних систем:</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однопартійна;</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двопартійна;</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багатопартійна.</w:t>
      </w:r>
    </w:p>
    <w:p w:rsidR="00E4749A" w:rsidRDefault="00E4749A" w:rsidP="00E4749A">
      <w:pPr>
        <w:pStyle w:val="a6"/>
        <w:spacing w:line="360" w:lineRule="auto"/>
        <w:ind w:firstLine="567"/>
        <w:jc w:val="both"/>
        <w:rPr>
          <w:szCs w:val="28"/>
        </w:rPr>
      </w:pPr>
      <w:r w:rsidRPr="00E4749A">
        <w:rPr>
          <w:szCs w:val="28"/>
        </w:rPr>
        <w:t>Звичайно, кожна із західних країн намагалася вирішити ці питання по-своєму, - виходячи з соціальної організації суспільства, ступеня розвитку політичної культури</w:t>
      </w:r>
      <w:r>
        <w:rPr>
          <w:szCs w:val="28"/>
        </w:rPr>
        <w:t xml:space="preserve"> </w:t>
      </w:r>
      <w:r w:rsidRPr="00E4749A">
        <w:rPr>
          <w:szCs w:val="28"/>
        </w:rPr>
        <w:t>(ідей, цінностей, норм та стереотипів), географічно</w:t>
      </w:r>
      <w:r>
        <w:rPr>
          <w:szCs w:val="28"/>
        </w:rPr>
        <w:t>го положення, наявності активно</w:t>
      </w:r>
      <w:r w:rsidRPr="00E4749A">
        <w:rPr>
          <w:szCs w:val="28"/>
        </w:rPr>
        <w:t>го прошарку національних меншин тощо. Проте в усіх випадках це зумовило цілий ряд особливостей у формуванні та діяльності партій</w:t>
      </w:r>
      <w:r>
        <w:rPr>
          <w:szCs w:val="28"/>
        </w:rPr>
        <w:t>, зокрема ідеологічного та орга</w:t>
      </w:r>
      <w:r w:rsidRPr="00E4749A">
        <w:rPr>
          <w:szCs w:val="28"/>
        </w:rPr>
        <w:t>нізаційного характеру, спрямованих на максимальне розширення соціальної бази. Дедалі більша кількість соціал-</w:t>
      </w:r>
      <w:r w:rsidRPr="00E4749A">
        <w:rPr>
          <w:szCs w:val="28"/>
        </w:rPr>
        <w:lastRenderedPageBreak/>
        <w:t>демократичних партій Європи (Велика Британія, Швеція, ФРН, Італія) почала схилятися до підтримки запровадження жорсткого державного контролю за розподілом прибутків. Так виникла концепція «третього шляху», оформлена в документі «Європа: третій шлях, нова середина», підписаному в 1999 р. лідером лейбористів Т. Блером та канцлером Німеччини Г. Шредером.</w:t>
      </w:r>
    </w:p>
    <w:p w:rsidR="00E4749A" w:rsidRPr="00E4749A" w:rsidRDefault="00E4749A" w:rsidP="00E4749A">
      <w:pPr>
        <w:pStyle w:val="a6"/>
        <w:spacing w:line="360" w:lineRule="auto"/>
        <w:ind w:firstLine="567"/>
        <w:jc w:val="both"/>
        <w:rPr>
          <w:szCs w:val="28"/>
        </w:rPr>
      </w:pPr>
    </w:p>
    <w:p w:rsidR="00E4749A" w:rsidRPr="00E4749A" w:rsidRDefault="00E4749A" w:rsidP="00E4749A">
      <w:pPr>
        <w:pStyle w:val="a6"/>
        <w:spacing w:line="360" w:lineRule="auto"/>
        <w:ind w:firstLine="567"/>
        <w:jc w:val="both"/>
        <w:rPr>
          <w:szCs w:val="28"/>
        </w:rPr>
      </w:pPr>
      <w:r w:rsidRPr="00E4749A">
        <w:rPr>
          <w:szCs w:val="28"/>
        </w:rPr>
        <w:t>НАСЛІДКОМ ТРАНСФО</w:t>
      </w:r>
      <w:r>
        <w:rPr>
          <w:szCs w:val="28"/>
        </w:rPr>
        <w:t>РМАЦІЙ ПАРТІЙНИХ СИСТЕМ СТАЛО:</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одночасне поєднання у програмових докуме</w:t>
      </w:r>
      <w:r>
        <w:rPr>
          <w:szCs w:val="28"/>
        </w:rPr>
        <w:t>нтах більшості партій соціал-де</w:t>
      </w:r>
      <w:r w:rsidRPr="00E4749A">
        <w:rPr>
          <w:szCs w:val="28"/>
        </w:rPr>
        <w:t>мократичних, ліберальних та консервативних елементів;</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перетворення партій із соціально-класових організацій у загальнонародні, що претендують на представництво всіх верств населення;</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нестабільність соціальної бази партій, що призводить до непередбачуваності наслідків виборів;</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збільшення кількості «незалежних» виборців, які не мають стабільних уподобань;</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втрата зв’язків між партійними вподобання</w:t>
      </w:r>
      <w:r>
        <w:rPr>
          <w:szCs w:val="28"/>
        </w:rPr>
        <w:t>ми соціальних груп і їх станови</w:t>
      </w:r>
      <w:r w:rsidRPr="00E4749A">
        <w:rPr>
          <w:szCs w:val="28"/>
        </w:rPr>
        <w:t>щем у суспільстві;</w:t>
      </w:r>
    </w:p>
    <w:p w:rsidR="00E4749A" w:rsidRPr="00E4749A" w:rsidRDefault="00E4749A" w:rsidP="00E4749A">
      <w:pPr>
        <w:pStyle w:val="a6"/>
        <w:spacing w:line="360" w:lineRule="auto"/>
        <w:ind w:firstLine="567"/>
        <w:jc w:val="both"/>
        <w:rPr>
          <w:szCs w:val="28"/>
        </w:rPr>
      </w:pPr>
      <w:r w:rsidRPr="00E4749A">
        <w:rPr>
          <w:szCs w:val="28"/>
        </w:rPr>
        <w:t>•</w:t>
      </w:r>
      <w:r w:rsidRPr="00E4749A">
        <w:rPr>
          <w:szCs w:val="28"/>
        </w:rPr>
        <w:tab/>
        <w:t>виникнення феномену «протестного голосування», тобто голосування не стільки «за», скільки проти когось.</w:t>
      </w:r>
    </w:p>
    <w:p w:rsidR="00E4749A" w:rsidRDefault="00E4749A" w:rsidP="00E4749A">
      <w:pPr>
        <w:pStyle w:val="a6"/>
        <w:spacing w:line="360" w:lineRule="auto"/>
        <w:ind w:firstLine="567"/>
        <w:jc w:val="both"/>
        <w:rPr>
          <w:szCs w:val="28"/>
        </w:rPr>
      </w:pPr>
      <w:r w:rsidRPr="00E4749A">
        <w:rPr>
          <w:szCs w:val="28"/>
        </w:rPr>
        <w:t>Також на політичні процеси в країнах почали істотно впливати засоби масової комунікації, а також нові соціальні та екологічні рухи - альтернативні форми виявлення громадянської позиції, спрямовані на п</w:t>
      </w:r>
      <w:r>
        <w:rPr>
          <w:szCs w:val="28"/>
        </w:rPr>
        <w:t>окращання якості життя та на до</w:t>
      </w:r>
      <w:r w:rsidRPr="00E4749A">
        <w:rPr>
          <w:szCs w:val="28"/>
        </w:rPr>
        <w:t>сягнення нематеріальних цінностей. Вони виявл</w:t>
      </w:r>
      <w:r>
        <w:rPr>
          <w:szCs w:val="28"/>
        </w:rPr>
        <w:t>яються у формах пацифізму, анти</w:t>
      </w:r>
      <w:r w:rsidRPr="00E4749A">
        <w:rPr>
          <w:szCs w:val="28"/>
        </w:rPr>
        <w:t>мілітаризму, фемінізму, антиглобалізму, всіляких громадянських ініціатив.</w:t>
      </w:r>
    </w:p>
    <w:p w:rsidR="00796584" w:rsidRPr="00796584" w:rsidRDefault="00796584" w:rsidP="00796584">
      <w:pPr>
        <w:pStyle w:val="a6"/>
        <w:spacing w:line="360" w:lineRule="auto"/>
        <w:ind w:firstLine="567"/>
        <w:jc w:val="both"/>
        <w:rPr>
          <w:b/>
          <w:szCs w:val="28"/>
        </w:rPr>
      </w:pPr>
      <w:r w:rsidRPr="00796584">
        <w:rPr>
          <w:b/>
          <w:szCs w:val="28"/>
        </w:rPr>
        <w:t>3</w:t>
      </w:r>
      <w:r w:rsidRPr="00796584">
        <w:rPr>
          <w:b/>
          <w:szCs w:val="28"/>
        </w:rPr>
        <w:t>.</w:t>
      </w:r>
      <w:r w:rsidRPr="00796584">
        <w:rPr>
          <w:b/>
          <w:szCs w:val="28"/>
        </w:rPr>
        <w:t xml:space="preserve"> Науково-технічна революція. </w:t>
      </w:r>
    </w:p>
    <w:p w:rsidR="00796584" w:rsidRPr="00796584" w:rsidRDefault="00796584" w:rsidP="00796584">
      <w:pPr>
        <w:pStyle w:val="a6"/>
        <w:spacing w:line="360" w:lineRule="auto"/>
        <w:ind w:firstLine="567"/>
        <w:jc w:val="both"/>
        <w:rPr>
          <w:szCs w:val="28"/>
        </w:rPr>
      </w:pPr>
      <w:r w:rsidRPr="00796584">
        <w:rPr>
          <w:szCs w:val="28"/>
        </w:rPr>
        <w:t>Нові умови розвитку економіки, нові потреби суспільства, а також військові галузі зумовили стрибок нау</w:t>
      </w:r>
      <w:r>
        <w:rPr>
          <w:szCs w:val="28"/>
        </w:rPr>
        <w:t>ково-технічного про</w:t>
      </w:r>
      <w:r w:rsidRPr="00796584">
        <w:rPr>
          <w:szCs w:val="28"/>
        </w:rPr>
        <w:t xml:space="preserve">гресу людства, що стався у другій половині XX ст. Для НТР характерне скорочення часу між відкриттям і впровадженням винаходу, </w:t>
      </w:r>
      <w:r>
        <w:rPr>
          <w:szCs w:val="28"/>
        </w:rPr>
        <w:t>постійне матеріально-технологіч</w:t>
      </w:r>
      <w:r w:rsidRPr="00796584">
        <w:rPr>
          <w:szCs w:val="28"/>
        </w:rPr>
        <w:t xml:space="preserve">не оновлення. Це явище прийнято називати науково-технічною революцією (НТР). У XX ст. її </w:t>
      </w:r>
      <w:r w:rsidRPr="00796584">
        <w:rPr>
          <w:szCs w:val="28"/>
        </w:rPr>
        <w:lastRenderedPageBreak/>
        <w:t>можна умовно поділити на два етапи:</w:t>
      </w:r>
    </w:p>
    <w:p w:rsidR="00796584" w:rsidRPr="00796584" w:rsidRDefault="00796584" w:rsidP="00796584">
      <w:pPr>
        <w:pStyle w:val="a6"/>
        <w:spacing w:line="360" w:lineRule="auto"/>
        <w:ind w:firstLine="567"/>
        <w:jc w:val="both"/>
        <w:rPr>
          <w:szCs w:val="28"/>
        </w:rPr>
      </w:pPr>
      <w:r>
        <w:rPr>
          <w:szCs w:val="28"/>
        </w:rPr>
        <w:t>1. 1940-</w:t>
      </w:r>
      <w:r w:rsidRPr="00796584">
        <w:rPr>
          <w:szCs w:val="28"/>
        </w:rPr>
        <w:t xml:space="preserve">1960-ті рр. НТР цього етапу у першу </w:t>
      </w:r>
      <w:r>
        <w:rPr>
          <w:szCs w:val="28"/>
        </w:rPr>
        <w:t>чергу була обумовлена відкриття</w:t>
      </w:r>
      <w:r w:rsidRPr="00796584">
        <w:rPr>
          <w:szCs w:val="28"/>
        </w:rPr>
        <w:t>ми у галузі ядерної фізики і квантової механіки, а також кібернетики, мікробіології, біохімії тощо. Значна увага на цьому етапі приділялася автоматизації контролю і управління, впровадженню обчислювальної техніки</w:t>
      </w:r>
      <w:r>
        <w:rPr>
          <w:szCs w:val="28"/>
        </w:rPr>
        <w:t>. У цей час набуло розповсюджен</w:t>
      </w:r>
      <w:r w:rsidRPr="00796584">
        <w:rPr>
          <w:szCs w:val="28"/>
        </w:rPr>
        <w:t>ня телебачення, було винайдено транзистори, р</w:t>
      </w:r>
      <w:r>
        <w:rPr>
          <w:szCs w:val="28"/>
        </w:rPr>
        <w:t>акети, лазери, починають викори</w:t>
      </w:r>
      <w:r w:rsidRPr="00796584">
        <w:rPr>
          <w:szCs w:val="28"/>
        </w:rPr>
        <w:t>стовуватись атомна енергія, антибіотики (пеніцилін), водень, пасажирські літаки, інтегральні схеми.</w:t>
      </w:r>
    </w:p>
    <w:p w:rsidR="00796584" w:rsidRPr="00796584" w:rsidRDefault="00796584" w:rsidP="00796584">
      <w:pPr>
        <w:pStyle w:val="a6"/>
        <w:spacing w:line="360" w:lineRule="auto"/>
        <w:ind w:firstLine="567"/>
        <w:jc w:val="both"/>
        <w:rPr>
          <w:szCs w:val="28"/>
        </w:rPr>
      </w:pPr>
      <w:r w:rsidRPr="00796584">
        <w:rPr>
          <w:szCs w:val="28"/>
        </w:rPr>
        <w:t>2. Технотронний (від середини 1970-х рр.). Домінуючим фактором у ньому стає масова комп’ютеризація виробництва, розвито</w:t>
      </w:r>
      <w:r>
        <w:rPr>
          <w:szCs w:val="28"/>
        </w:rPr>
        <w:t>к наукомістких і ліквідація тра</w:t>
      </w:r>
      <w:r w:rsidRPr="00796584">
        <w:rPr>
          <w:szCs w:val="28"/>
        </w:rPr>
        <w:t>диційних галузей виробництва, значне розширення сфери послуг. У цей період бул</w:t>
      </w:r>
      <w:r>
        <w:rPr>
          <w:szCs w:val="28"/>
        </w:rPr>
        <w:t>о відкрито мікропроцесори, опто</w:t>
      </w:r>
      <w:r w:rsidRPr="00796584">
        <w:rPr>
          <w:szCs w:val="28"/>
        </w:rPr>
        <w:t xml:space="preserve">волоконну передачу </w:t>
      </w:r>
      <w:r>
        <w:rPr>
          <w:szCs w:val="28"/>
        </w:rPr>
        <w:t>інформації, біотехнології, набу</w:t>
      </w:r>
      <w:r w:rsidRPr="00796584">
        <w:rPr>
          <w:szCs w:val="28"/>
        </w:rPr>
        <w:t>ває розвитку генна інженерія.</w:t>
      </w:r>
    </w:p>
    <w:p w:rsidR="00796584" w:rsidRPr="00E4749A" w:rsidRDefault="00796584" w:rsidP="00796584">
      <w:pPr>
        <w:pStyle w:val="a6"/>
        <w:spacing w:line="360" w:lineRule="auto"/>
        <w:ind w:firstLine="567"/>
        <w:jc w:val="both"/>
        <w:rPr>
          <w:szCs w:val="28"/>
        </w:rPr>
      </w:pPr>
      <w:r w:rsidRPr="00796584">
        <w:rPr>
          <w:szCs w:val="28"/>
        </w:rPr>
        <w:t xml:space="preserve">Одним з феноменів НТР став стрімкий розвиток </w:t>
      </w:r>
      <w:r w:rsidRPr="00796584">
        <w:rPr>
          <w:szCs w:val="28"/>
        </w:rPr>
        <w:t>транс націоналізації</w:t>
      </w:r>
      <w:r>
        <w:rPr>
          <w:szCs w:val="28"/>
        </w:rPr>
        <w:t>, пов’яза</w:t>
      </w:r>
      <w:r w:rsidRPr="00796584">
        <w:rPr>
          <w:szCs w:val="28"/>
        </w:rPr>
        <w:t>ний зі створенням ТНК, транснаціональних багатогалузевих корпорацій, унаслідок чого вже не країни, а мережі компаній стають реальними експортерами і продавцями продукції. На сьогодні у світі існує майже 70 тис.</w:t>
      </w:r>
      <w:r>
        <w:rPr>
          <w:szCs w:val="28"/>
        </w:rPr>
        <w:t xml:space="preserve"> ТНК, 500 з яких володіють прак</w:t>
      </w:r>
      <w:r w:rsidRPr="00796584">
        <w:rPr>
          <w:szCs w:val="28"/>
        </w:rPr>
        <w:t xml:space="preserve">тично необмеженою економічною владою. Вони </w:t>
      </w:r>
      <w:r>
        <w:rPr>
          <w:szCs w:val="28"/>
        </w:rPr>
        <w:t>монополізували майже 60 % світо</w:t>
      </w:r>
      <w:r w:rsidRPr="00796584">
        <w:rPr>
          <w:szCs w:val="28"/>
        </w:rPr>
        <w:t>вого промислового виробництва та 90 % торгівлі п</w:t>
      </w:r>
      <w:r>
        <w:rPr>
          <w:szCs w:val="28"/>
        </w:rPr>
        <w:t>шеницею, кавою, залізною та мід</w:t>
      </w:r>
      <w:r w:rsidRPr="00796584">
        <w:rPr>
          <w:szCs w:val="28"/>
        </w:rPr>
        <w:t>ною рудою. Це створює нову ситуацію для невеликих країн, оскільки ТНК активно втручаються в політику, створюючи спеціальні фонди для дестабілізації ситуації там, де політика урядів їх не влаштовує. Так, лише в 1</w:t>
      </w:r>
      <w:r>
        <w:rPr>
          <w:szCs w:val="28"/>
        </w:rPr>
        <w:t>973—1975 рр. американські корпо</w:t>
      </w:r>
      <w:r w:rsidRPr="00796584">
        <w:rPr>
          <w:szCs w:val="28"/>
        </w:rPr>
        <w:t>рації у такий спосіб перетворили на «гарячі точки» Ч</w:t>
      </w:r>
      <w:r>
        <w:rPr>
          <w:szCs w:val="28"/>
        </w:rPr>
        <w:t xml:space="preserve">илі, Панаму, </w:t>
      </w:r>
      <w:proofErr w:type="spellStart"/>
      <w:r>
        <w:rPr>
          <w:szCs w:val="28"/>
        </w:rPr>
        <w:t>Коста-Рику</w:t>
      </w:r>
      <w:proofErr w:type="spellEnd"/>
      <w:r>
        <w:rPr>
          <w:szCs w:val="28"/>
        </w:rPr>
        <w:t xml:space="preserve"> і Гонду</w:t>
      </w:r>
      <w:r w:rsidRPr="00796584">
        <w:rPr>
          <w:szCs w:val="28"/>
        </w:rPr>
        <w:t>рас. Корпорації також роблять внески у виборчі фо</w:t>
      </w:r>
      <w:r>
        <w:rPr>
          <w:szCs w:val="28"/>
        </w:rPr>
        <w:t>нди країн перебування, пропону</w:t>
      </w:r>
      <w:r w:rsidRPr="00796584">
        <w:rPr>
          <w:szCs w:val="28"/>
        </w:rPr>
        <w:t>ють</w:t>
      </w:r>
      <w:r>
        <w:rPr>
          <w:szCs w:val="28"/>
        </w:rPr>
        <w:t xml:space="preserve"> </w:t>
      </w:r>
      <w:r w:rsidRPr="00796584">
        <w:rPr>
          <w:szCs w:val="28"/>
        </w:rPr>
        <w:t>хабарі політичним</w:t>
      </w:r>
      <w:r>
        <w:rPr>
          <w:szCs w:val="28"/>
        </w:rPr>
        <w:t xml:space="preserve"> </w:t>
      </w:r>
      <w:bookmarkStart w:id="0" w:name="_GoBack"/>
      <w:bookmarkEnd w:id="0"/>
      <w:r w:rsidRPr="00796584">
        <w:rPr>
          <w:szCs w:val="28"/>
        </w:rPr>
        <w:t>діячам (відомою є афера ТНК «</w:t>
      </w:r>
      <w:proofErr w:type="spellStart"/>
      <w:r w:rsidRPr="00796584">
        <w:rPr>
          <w:szCs w:val="28"/>
        </w:rPr>
        <w:t>Локхід</w:t>
      </w:r>
      <w:proofErr w:type="spellEnd"/>
      <w:r w:rsidRPr="00796584">
        <w:rPr>
          <w:szCs w:val="28"/>
        </w:rPr>
        <w:t>» у Японії). Розслідування протизаконної діяльності ТНК привело до цілого ряду скандальних викриттів у ФРН, Єгипті, Мексиці, Туреччині, Італії, Швеції та Франції.</w:t>
      </w:r>
    </w:p>
    <w:sectPr w:rsidR="00796584" w:rsidRPr="00E4749A"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8"/>
  </w:num>
  <w:num w:numId="8">
    <w:abstractNumId w:val="9"/>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42B1B"/>
    <w:rsid w:val="000946D5"/>
    <w:rsid w:val="000D6BDC"/>
    <w:rsid w:val="000E546A"/>
    <w:rsid w:val="002218C3"/>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4C48"/>
    <w:rsid w:val="00796584"/>
    <w:rsid w:val="007B4A75"/>
    <w:rsid w:val="007B626F"/>
    <w:rsid w:val="007E4A70"/>
    <w:rsid w:val="0084630C"/>
    <w:rsid w:val="008700CE"/>
    <w:rsid w:val="00887E84"/>
    <w:rsid w:val="0089638D"/>
    <w:rsid w:val="008D0AFD"/>
    <w:rsid w:val="00916450"/>
    <w:rsid w:val="009A329C"/>
    <w:rsid w:val="009D0C4F"/>
    <w:rsid w:val="009F6BD5"/>
    <w:rsid w:val="00A318D7"/>
    <w:rsid w:val="00AE4E8A"/>
    <w:rsid w:val="00B1336B"/>
    <w:rsid w:val="00B9779E"/>
    <w:rsid w:val="00BA0161"/>
    <w:rsid w:val="00BE1E7F"/>
    <w:rsid w:val="00C43A81"/>
    <w:rsid w:val="00CA2E7E"/>
    <w:rsid w:val="00CE0CBE"/>
    <w:rsid w:val="00D3208B"/>
    <w:rsid w:val="00D50192"/>
    <w:rsid w:val="00D60BEA"/>
    <w:rsid w:val="00D94E14"/>
    <w:rsid w:val="00DB6005"/>
    <w:rsid w:val="00DC7889"/>
    <w:rsid w:val="00E4749A"/>
    <w:rsid w:val="00E57AE0"/>
    <w:rsid w:val="00E61DE5"/>
    <w:rsid w:val="00E71173"/>
    <w:rsid w:val="00EA6108"/>
    <w:rsid w:val="00ED0EFC"/>
    <w:rsid w:val="00ED2D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B0744-F91F-4B9C-8A98-1FF6327D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8820</Words>
  <Characters>5028</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43</cp:revision>
  <dcterms:created xsi:type="dcterms:W3CDTF">2020-03-17T16:10:00Z</dcterms:created>
  <dcterms:modified xsi:type="dcterms:W3CDTF">2020-04-23T18:13:00Z</dcterms:modified>
</cp:coreProperties>
</file>