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5AD" w:rsidRPr="00296A59" w:rsidRDefault="001745AD" w:rsidP="001745AD">
      <w:pPr>
        <w:spacing w:line="360" w:lineRule="auto"/>
        <w:ind w:firstLine="567"/>
        <w:jc w:val="both"/>
        <w:rPr>
          <w:rFonts w:ascii="Times New Roman" w:hAnsi="Times New Roman" w:cs="Times New Roman"/>
          <w:sz w:val="28"/>
          <w:szCs w:val="28"/>
        </w:rPr>
      </w:pPr>
      <w:proofErr w:type="spellStart"/>
      <w:r w:rsidRPr="00296A59">
        <w:rPr>
          <w:rFonts w:ascii="Times New Roman" w:hAnsi="Times New Roman" w:cs="Times New Roman"/>
          <w:sz w:val="28"/>
          <w:szCs w:val="28"/>
        </w:rPr>
        <w:t>Євромайдан</w:t>
      </w:r>
      <w:proofErr w:type="spellEnd"/>
      <w:r w:rsidRPr="00296A59">
        <w:rPr>
          <w:rFonts w:ascii="Times New Roman" w:hAnsi="Times New Roman" w:cs="Times New Roman"/>
          <w:sz w:val="28"/>
          <w:szCs w:val="28"/>
        </w:rPr>
        <w:t xml:space="preserve">. Революція Гідності. </w:t>
      </w:r>
    </w:p>
    <w:p w:rsidR="001745AD" w:rsidRPr="00E03BDE" w:rsidRDefault="001745AD" w:rsidP="001745AD">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Д</w:t>
      </w:r>
      <w:r w:rsidRPr="00E03BDE">
        <w:rPr>
          <w:rFonts w:ascii="Times New Roman" w:hAnsi="Times New Roman" w:cs="Times New Roman"/>
          <w:b w:val="0"/>
          <w:sz w:val="28"/>
          <w:szCs w:val="28"/>
        </w:rPr>
        <w:t>иктаторські риси режиму В. Януковича посилювалися. Сформувалося вузьке коло наближених, яке отримало назву «сім’я». На користь «сім’ї» відбувалося фактичне розграбування державного бюджету. Інтересами країни поступалися на користь Росії, яка все наполегливіше виступала за відновлення свого впливу в межах колишнього СРСР. Розвиток країни фактично зупинився, корупція сягнула небачених масштабів. Стабільність досягалася накопиченням внутрішніх і зовнішніх боргів.</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Така політика набувала все більшого опору в суспільстві. У березні 2013 р. опозиційні сили започаткували акцію протесту «Вставай, Україно!». Проте бажаного результату вона не дала. Лідери опозиції не мали значної підтримки. Восени 2013 р. піднялася нова хвиля акцій протесту. Поштовхом до цих подій стала відмова влади від курсу на європейську інтеграцію.</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21 листопада 2013 р. Кабінет Міністрів України призупинив процес підготовки до підписання Угоди про асоціацію між Україною та ЄС, мотивуючи це «інтересами національної безпеки». У відповідь уже ввечері цього ж дня люди, переважно студентство, зібралися на Майдані Незалежності на підтримку європейської інтеграції. Такі самі акції розгорнулися в інших областях України. Згодом вони отримали узагальнюючу назву </w:t>
      </w:r>
      <w:proofErr w:type="spellStart"/>
      <w:r w:rsidRPr="00E03BDE">
        <w:rPr>
          <w:rFonts w:ascii="Times New Roman" w:hAnsi="Times New Roman" w:cs="Times New Roman"/>
          <w:b w:val="0"/>
          <w:sz w:val="28"/>
          <w:szCs w:val="28"/>
        </w:rPr>
        <w:t>Євромайдан</w:t>
      </w:r>
      <w:proofErr w:type="spellEnd"/>
      <w:r w:rsidRPr="00E03BDE">
        <w:rPr>
          <w:rFonts w:ascii="Times New Roman" w:hAnsi="Times New Roman" w:cs="Times New Roman"/>
          <w:b w:val="0"/>
          <w:sz w:val="28"/>
          <w:szCs w:val="28"/>
        </w:rPr>
        <w:t>. Однак навіть під тиском суспільства В. Янукович на саміті Східного партнерства у Вільнюсі (Литва), що відбувся 29 листопада, відмовився підписа</w:t>
      </w:r>
      <w:r>
        <w:rPr>
          <w:rFonts w:ascii="Times New Roman" w:hAnsi="Times New Roman" w:cs="Times New Roman"/>
          <w:b w:val="0"/>
          <w:sz w:val="28"/>
          <w:szCs w:val="28"/>
        </w:rPr>
        <w:t>ти Угоду про асоціацію з ЄС. А 30</w:t>
      </w:r>
      <w:r w:rsidRPr="00E03BDE">
        <w:rPr>
          <w:rFonts w:ascii="Times New Roman" w:hAnsi="Times New Roman" w:cs="Times New Roman"/>
          <w:b w:val="0"/>
          <w:sz w:val="28"/>
          <w:szCs w:val="28"/>
        </w:rPr>
        <w:t xml:space="preserve"> листопада «Беркут» на Майдані Незалежності жорстоко розігнав людей, які протестували проти рішення Президента призупинити переговори із ЄС.</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Влада виправдовувала свої дії заявою, що протести не дозволяли встановити новорічну ялинку на час зимових свят. Згодом ця ялинка, прикрашена плакатами й гаслами, стала одним із символів </w:t>
      </w:r>
      <w:proofErr w:type="spellStart"/>
      <w:r w:rsidRPr="00E03BDE">
        <w:rPr>
          <w:rFonts w:ascii="Times New Roman" w:hAnsi="Times New Roman" w:cs="Times New Roman"/>
          <w:b w:val="0"/>
          <w:sz w:val="28"/>
          <w:szCs w:val="28"/>
        </w:rPr>
        <w:t>Євромайдану</w:t>
      </w:r>
      <w:proofErr w:type="spellEnd"/>
      <w:r w:rsidRPr="00E03BDE">
        <w:rPr>
          <w:rFonts w:ascii="Times New Roman" w:hAnsi="Times New Roman" w:cs="Times New Roman"/>
          <w:b w:val="0"/>
          <w:sz w:val="28"/>
          <w:szCs w:val="28"/>
        </w:rPr>
        <w:t>. Жорстоке побиття протестувальників, на думку влади, мало стати «уроком на майбутнє». Однак реакція суспільства була зворотною.</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1 грудня 2013 р. Київ зібрався на перше віче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загальні збори громадян (із того часу їх проводили щонеділі опівдні). Учасники були обурені жорстокістю міліції, застосованою до мирних і неозброєних демонстрантів, та вимагали відставки </w:t>
      </w:r>
      <w:r w:rsidRPr="00E03BDE">
        <w:rPr>
          <w:rFonts w:ascii="Times New Roman" w:hAnsi="Times New Roman" w:cs="Times New Roman"/>
          <w:b w:val="0"/>
          <w:sz w:val="28"/>
          <w:szCs w:val="28"/>
        </w:rPr>
        <w:lastRenderedPageBreak/>
        <w:t>Кабінету Мі</w:t>
      </w:r>
      <w:r>
        <w:rPr>
          <w:rFonts w:ascii="Times New Roman" w:hAnsi="Times New Roman" w:cs="Times New Roman"/>
          <w:b w:val="0"/>
          <w:sz w:val="28"/>
          <w:szCs w:val="28"/>
        </w:rPr>
        <w:t>ністрів і розслідування подій 30</w:t>
      </w:r>
      <w:r w:rsidRPr="00E03BDE">
        <w:rPr>
          <w:rFonts w:ascii="Times New Roman" w:hAnsi="Times New Roman" w:cs="Times New Roman"/>
          <w:b w:val="0"/>
          <w:sz w:val="28"/>
          <w:szCs w:val="28"/>
        </w:rPr>
        <w:t xml:space="preserve"> листопада 2013 р. За різними джерелами, у цей день у центрі Києва зібралося від 700 тис. до 1,5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осіб. Щоб дискредитувати народний виступ, була спровокована сутичка демонстрантів із міліцією біля будівлі Адміністрації Президента. Бійці «Беркуту» знову вчинили жорстоке побиття, але це лише додало рішучості учасникам протестів. У центрі міста з’явився новий Майдан. Протестувальники вимагали усунення чинної влади, проведення реформ і відновлення курсу на євроінтеграцію.</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Однак влада не прислухалася до вимог народу. Тоді 8 грудня на Майдані під час «маршу мільйона» було прийнято рішення блокувати урядовий квартал. Цього ж дня в Києві було повалено</w:t>
      </w:r>
      <w:r>
        <w:rPr>
          <w:rFonts w:ascii="Times New Roman" w:hAnsi="Times New Roman" w:cs="Times New Roman"/>
          <w:b w:val="0"/>
          <w:sz w:val="28"/>
          <w:szCs w:val="28"/>
        </w:rPr>
        <w:t xml:space="preserve"> </w:t>
      </w:r>
      <w:r w:rsidRPr="00E03BDE">
        <w:rPr>
          <w:rFonts w:ascii="Times New Roman" w:hAnsi="Times New Roman" w:cs="Times New Roman"/>
          <w:b w:val="0"/>
          <w:sz w:val="28"/>
          <w:szCs w:val="28"/>
        </w:rPr>
        <w:t>пам’ятник Леніну. Це започаткувало процес, який розтягнувся на рік та отримав назву «</w:t>
      </w:r>
      <w:proofErr w:type="spellStart"/>
      <w:r w:rsidRPr="00E03BDE">
        <w:rPr>
          <w:rFonts w:ascii="Times New Roman" w:hAnsi="Times New Roman" w:cs="Times New Roman"/>
          <w:b w:val="0"/>
          <w:sz w:val="28"/>
          <w:szCs w:val="28"/>
        </w:rPr>
        <w:t>ленінопад</w:t>
      </w:r>
      <w:proofErr w:type="spellEnd"/>
      <w:r w:rsidRPr="00E03BDE">
        <w:rPr>
          <w:rFonts w:ascii="Times New Roman" w:hAnsi="Times New Roman" w:cs="Times New Roman"/>
          <w:b w:val="0"/>
          <w:sz w:val="28"/>
          <w:szCs w:val="28"/>
        </w:rPr>
        <w:t>» (до кінця року в Україні було зруйновано понад 500 пам’ятників).</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ніч із 10 на 11 грудня 2013 р. кілька тисяч бійців «Беркуту» та внутрішніх військ зробили спробу звільнити («зачистити») вулицю Хрещатик та Майдан Незалежності від протестувальників. Одночасно співробітники ДАІ заблокували дороги до центру міста. Незважаючи на це, до 5-ї години ранку понад 15 тис. жителів Києва, яких розбудили церковні дзвони, прийшли захищати Майдан. (Першими почали бити дзвони Михайлівського Золотоверхого собору, сповіщаючи в такий спосіб про надзвичайні події.) Зрештою силовики були змушені відступити.</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13 грудня відбувся «круглий стіл» В. Януковича і трьох лідерів опозиції </w:t>
      </w:r>
      <w:r>
        <w:rPr>
          <w:rFonts w:ascii="Times New Roman" w:hAnsi="Times New Roman" w:cs="Times New Roman"/>
          <w:b w:val="0"/>
          <w:sz w:val="28"/>
          <w:szCs w:val="28"/>
        </w:rPr>
        <w:t>-</w:t>
      </w:r>
      <w:r>
        <w:rPr>
          <w:rFonts w:ascii="Times New Roman" w:hAnsi="Times New Roman" w:cs="Times New Roman"/>
          <w:b w:val="0"/>
          <w:sz w:val="28"/>
          <w:szCs w:val="28"/>
        </w:rPr>
        <w:t xml:space="preserve"> А. </w:t>
      </w:r>
      <w:r w:rsidRPr="00E03BDE">
        <w:rPr>
          <w:rFonts w:ascii="Times New Roman" w:hAnsi="Times New Roman" w:cs="Times New Roman"/>
          <w:b w:val="0"/>
          <w:sz w:val="28"/>
          <w:szCs w:val="28"/>
        </w:rPr>
        <w:t>Яценюка, В. Кличка, О. Тягнибока, але жодного питання не було вирішено.</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Для протидії Майдану влада організувала </w:t>
      </w:r>
      <w:proofErr w:type="spellStart"/>
      <w:r w:rsidRPr="00E03BDE">
        <w:rPr>
          <w:rFonts w:ascii="Times New Roman" w:hAnsi="Times New Roman" w:cs="Times New Roman"/>
          <w:b w:val="0"/>
          <w:sz w:val="28"/>
          <w:szCs w:val="28"/>
        </w:rPr>
        <w:t>Антимайдан</w:t>
      </w:r>
      <w:proofErr w:type="spellEnd"/>
      <w:r w:rsidRPr="00E03BDE">
        <w:rPr>
          <w:rFonts w:ascii="Times New Roman" w:hAnsi="Times New Roman" w:cs="Times New Roman"/>
          <w:b w:val="0"/>
          <w:sz w:val="28"/>
          <w:szCs w:val="28"/>
        </w:rPr>
        <w:t xml:space="preserve">, який розташувався на площі біля будівлі Верховної Ради та в Марийському парку. На </w:t>
      </w:r>
      <w:proofErr w:type="spellStart"/>
      <w:r w:rsidRPr="00E03BDE">
        <w:rPr>
          <w:rFonts w:ascii="Times New Roman" w:hAnsi="Times New Roman" w:cs="Times New Roman"/>
          <w:b w:val="0"/>
          <w:sz w:val="28"/>
          <w:szCs w:val="28"/>
        </w:rPr>
        <w:t>Антимайдан</w:t>
      </w:r>
      <w:proofErr w:type="spellEnd"/>
      <w:r w:rsidRPr="00E03BDE">
        <w:rPr>
          <w:rFonts w:ascii="Times New Roman" w:hAnsi="Times New Roman" w:cs="Times New Roman"/>
          <w:b w:val="0"/>
          <w:sz w:val="28"/>
          <w:szCs w:val="28"/>
        </w:rPr>
        <w:t xml:space="preserve"> масово звозили прихильників Партії регіонів зі східних і південних областей країни. Такі </w:t>
      </w:r>
      <w:proofErr w:type="spellStart"/>
      <w:r w:rsidRPr="00E03BDE">
        <w:rPr>
          <w:rFonts w:ascii="Times New Roman" w:hAnsi="Times New Roman" w:cs="Times New Roman"/>
          <w:b w:val="0"/>
          <w:sz w:val="28"/>
          <w:szCs w:val="28"/>
        </w:rPr>
        <w:t>Антимайдани</w:t>
      </w:r>
      <w:proofErr w:type="spellEnd"/>
      <w:r w:rsidRPr="00E03BDE">
        <w:rPr>
          <w:rFonts w:ascii="Times New Roman" w:hAnsi="Times New Roman" w:cs="Times New Roman"/>
          <w:b w:val="0"/>
          <w:sz w:val="28"/>
          <w:szCs w:val="28"/>
        </w:rPr>
        <w:t xml:space="preserve"> були організовані в деяких містах України.</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Незважаючи на сильні морози та провокації з боку силовиків та чиновників, люди на Майдані продовжували вимагати змін. Ситуація знову загострилася після прийняття 16 січня 2014 р. «диктаторських законів», які значно обмежували права людей на протест. Вони передбачали блокування веб-сайтів, покарання за встановлення наметів та звукового обладнання для демонстрацій, заборону носіння </w:t>
      </w:r>
      <w:r w:rsidRPr="00E03BDE">
        <w:rPr>
          <w:rFonts w:ascii="Times New Roman" w:hAnsi="Times New Roman" w:cs="Times New Roman"/>
          <w:b w:val="0"/>
          <w:sz w:val="28"/>
          <w:szCs w:val="28"/>
        </w:rPr>
        <w:lastRenderedPageBreak/>
        <w:t>шоломів під час демонстрацій, вимогу перереєстрації організацій, які отримували фінансування з-за кордону, тощо.</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19 січня 2014 р. приблизно о 15-й годині, після щотижневого віча, кілька сотень людей намагалися прорватися до будівлі Верховної Ради через блокпости підрозділів міліції на вулиці Грушевського, розташовані біля стадіону «Динамо» ім. В. Лобановського. «Беркут» відповів світло-шумовими гранатами, </w:t>
      </w:r>
      <w:proofErr w:type="spellStart"/>
      <w:r w:rsidRPr="00E03BDE">
        <w:rPr>
          <w:rFonts w:ascii="Times New Roman" w:hAnsi="Times New Roman" w:cs="Times New Roman"/>
          <w:b w:val="0"/>
          <w:sz w:val="28"/>
          <w:szCs w:val="28"/>
        </w:rPr>
        <w:t>сльозогінним</w:t>
      </w:r>
      <w:proofErr w:type="spellEnd"/>
      <w:r w:rsidRPr="00E03BDE">
        <w:rPr>
          <w:rFonts w:ascii="Times New Roman" w:hAnsi="Times New Roman" w:cs="Times New Roman"/>
          <w:b w:val="0"/>
          <w:sz w:val="28"/>
          <w:szCs w:val="28"/>
        </w:rPr>
        <w:t xml:space="preserve"> газом, гумовими кулями та водометами (використання водометів за мінусової температури заборонено міжнародними конвенціями). Найбільш радикально налаштовані протестувальники застосовували палиці, каміння, «коктейлі Молотова», палили автомобільні шини.</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Щоб дискредитувати протестувальників,</w:t>
      </w:r>
      <w:r>
        <w:rPr>
          <w:rFonts w:ascii="Times New Roman" w:hAnsi="Times New Roman" w:cs="Times New Roman"/>
          <w:b w:val="0"/>
          <w:sz w:val="28"/>
          <w:szCs w:val="28"/>
        </w:rPr>
        <w:t xml:space="preserve"> влада найняла банди «</w:t>
      </w:r>
      <w:proofErr w:type="spellStart"/>
      <w:r>
        <w:rPr>
          <w:rFonts w:ascii="Times New Roman" w:hAnsi="Times New Roman" w:cs="Times New Roman"/>
          <w:b w:val="0"/>
          <w:sz w:val="28"/>
          <w:szCs w:val="28"/>
        </w:rPr>
        <w:t>ті</w:t>
      </w:r>
      <w:r w:rsidRPr="00E03BDE">
        <w:rPr>
          <w:rFonts w:ascii="Times New Roman" w:hAnsi="Times New Roman" w:cs="Times New Roman"/>
          <w:b w:val="0"/>
          <w:sz w:val="28"/>
          <w:szCs w:val="28"/>
        </w:rPr>
        <w:t>тушок</w:t>
      </w:r>
      <w:proofErr w:type="spellEnd"/>
      <w:r w:rsidRPr="00E03BDE">
        <w:rPr>
          <w:rFonts w:ascii="Times New Roman" w:hAnsi="Times New Roman" w:cs="Times New Roman"/>
          <w:b w:val="0"/>
          <w:sz w:val="28"/>
          <w:szCs w:val="28"/>
        </w:rPr>
        <w:t>» для погромів у Києві. У ніч із 20 на 21 січня по всьому місту сталися підпали автомобілів і напади на учасників демонстрацій. Проте жителі Києва почали створювати загони самооборони і не дали погромникам улаштовувати провокації.</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Тим часом правоохоронні органи застосували проти протестувальників вогнепальну зброю. 22 січня 2014 р. загинуло троє осіб: вірменин Сергій </w:t>
      </w:r>
      <w:proofErr w:type="spellStart"/>
      <w:r w:rsidRPr="00E03BDE">
        <w:rPr>
          <w:rFonts w:ascii="Times New Roman" w:hAnsi="Times New Roman" w:cs="Times New Roman"/>
          <w:b w:val="0"/>
          <w:sz w:val="28"/>
          <w:szCs w:val="28"/>
        </w:rPr>
        <w:t>Нігоян</w:t>
      </w:r>
      <w:proofErr w:type="spellEnd"/>
      <w:r w:rsidRPr="00E03BDE">
        <w:rPr>
          <w:rFonts w:ascii="Times New Roman" w:hAnsi="Times New Roman" w:cs="Times New Roman"/>
          <w:b w:val="0"/>
          <w:sz w:val="28"/>
          <w:szCs w:val="28"/>
        </w:rPr>
        <w:t xml:space="preserve"> та білорус Михайло </w:t>
      </w:r>
      <w:proofErr w:type="spellStart"/>
      <w:r w:rsidRPr="00E03BDE">
        <w:rPr>
          <w:rFonts w:ascii="Times New Roman" w:hAnsi="Times New Roman" w:cs="Times New Roman"/>
          <w:b w:val="0"/>
          <w:sz w:val="28"/>
          <w:szCs w:val="28"/>
        </w:rPr>
        <w:t>Жизневський</w:t>
      </w:r>
      <w:proofErr w:type="spellEnd"/>
      <w:r w:rsidRPr="00E03BDE">
        <w:rPr>
          <w:rFonts w:ascii="Times New Roman" w:hAnsi="Times New Roman" w:cs="Times New Roman"/>
          <w:b w:val="0"/>
          <w:sz w:val="28"/>
          <w:szCs w:val="28"/>
        </w:rPr>
        <w:t xml:space="preserve"> були вбиті з вогнепальної зброї на вулиці Грушевського, українця Юрія Вербицького знайшли мертвим у лісі біля Борисполя, куди його вивезли невідомі. Також цього дня в результаті сутичок було поранено понад 90 осіб. Переважали травми від ураження гумовими кулями, осколкові поранення обличчя та хімічні опіки. Проте жодна зі сторін не бажала поступатися. На Майдані</w:t>
      </w:r>
      <w:r>
        <w:rPr>
          <w:rFonts w:ascii="Times New Roman" w:hAnsi="Times New Roman" w:cs="Times New Roman"/>
          <w:b w:val="0"/>
          <w:sz w:val="28"/>
          <w:szCs w:val="28"/>
        </w:rPr>
        <w:t xml:space="preserve"> </w:t>
      </w:r>
      <w:r w:rsidRPr="00E03BDE">
        <w:rPr>
          <w:rFonts w:ascii="Times New Roman" w:hAnsi="Times New Roman" w:cs="Times New Roman"/>
          <w:b w:val="0"/>
          <w:sz w:val="28"/>
          <w:szCs w:val="28"/>
        </w:rPr>
        <w:t>було створено самооборону, яка активно озброювалася шоломами, щитами й палицями.</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В інших областях прихильники Майдану почали брати владу у свої руки. Протягом 22</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27 січня було захоплено десять державних установ (усі західні обласні державні адміністрації, крім Закарпатської, та Чернігівська й Полтавська). На півдні захоплення не відбулися. Черкаську обласну державну адміністрацію міліція відбила й почала «зачистку» серед населення. Було схоплено й ув’язнено близько 56 осіб. Розгін </w:t>
      </w:r>
      <w:proofErr w:type="spellStart"/>
      <w:r w:rsidRPr="00E03BDE">
        <w:rPr>
          <w:rFonts w:ascii="Times New Roman" w:hAnsi="Times New Roman" w:cs="Times New Roman"/>
          <w:b w:val="0"/>
          <w:sz w:val="28"/>
          <w:szCs w:val="28"/>
        </w:rPr>
        <w:t>Євромайдану</w:t>
      </w:r>
      <w:proofErr w:type="spellEnd"/>
      <w:r w:rsidRPr="00E03BDE">
        <w:rPr>
          <w:rFonts w:ascii="Times New Roman" w:hAnsi="Times New Roman" w:cs="Times New Roman"/>
          <w:b w:val="0"/>
          <w:sz w:val="28"/>
          <w:szCs w:val="28"/>
        </w:rPr>
        <w:t xml:space="preserve"> силовими засоб</w:t>
      </w:r>
      <w:r>
        <w:rPr>
          <w:rFonts w:ascii="Times New Roman" w:hAnsi="Times New Roman" w:cs="Times New Roman"/>
          <w:b w:val="0"/>
          <w:sz w:val="28"/>
          <w:szCs w:val="28"/>
        </w:rPr>
        <w:t>ами за участю міліції та «</w:t>
      </w:r>
      <w:proofErr w:type="spellStart"/>
      <w:r>
        <w:rPr>
          <w:rFonts w:ascii="Times New Roman" w:hAnsi="Times New Roman" w:cs="Times New Roman"/>
          <w:b w:val="0"/>
          <w:sz w:val="28"/>
          <w:szCs w:val="28"/>
        </w:rPr>
        <w:t>тіту</w:t>
      </w:r>
      <w:r w:rsidRPr="00E03BDE">
        <w:rPr>
          <w:rFonts w:ascii="Times New Roman" w:hAnsi="Times New Roman" w:cs="Times New Roman"/>
          <w:b w:val="0"/>
          <w:sz w:val="28"/>
          <w:szCs w:val="28"/>
        </w:rPr>
        <w:t>шок</w:t>
      </w:r>
      <w:proofErr w:type="spellEnd"/>
      <w:r w:rsidRPr="00E03BDE">
        <w:rPr>
          <w:rFonts w:ascii="Times New Roman" w:hAnsi="Times New Roman" w:cs="Times New Roman"/>
          <w:b w:val="0"/>
          <w:sz w:val="28"/>
          <w:szCs w:val="28"/>
        </w:rPr>
        <w:t>» відбувся і в інших містах. Події січня стали свідченням того, що влада не прагне мирного розв’язання ситуації.</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lastRenderedPageBreak/>
        <w:t>Завершальним і найбільш трагічним етапом революції стали події 18</w:t>
      </w:r>
      <w:r>
        <w:rPr>
          <w:rFonts w:ascii="Times New Roman" w:hAnsi="Times New Roman" w:cs="Times New Roman"/>
          <w:b w:val="0"/>
          <w:sz w:val="28"/>
          <w:szCs w:val="28"/>
        </w:rPr>
        <w:t>-</w:t>
      </w:r>
      <w:r w:rsidRPr="00E03BDE">
        <w:rPr>
          <w:rFonts w:ascii="Times New Roman" w:hAnsi="Times New Roman" w:cs="Times New Roman"/>
          <w:b w:val="0"/>
          <w:sz w:val="28"/>
          <w:szCs w:val="28"/>
        </w:rPr>
        <w:t>20 лютого 2014 р. в Києві, під час яких загинуло понад 100 протестувальників і кілька сотень було поранено або травмовано.</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Уранці 18 лютого протестувальники розпочали ходу до Верховної Ради України, де депутати мали розглянути зміни до Конституції Укра</w:t>
      </w:r>
      <w:r>
        <w:rPr>
          <w:rFonts w:ascii="Times New Roman" w:hAnsi="Times New Roman" w:cs="Times New Roman"/>
          <w:b w:val="0"/>
          <w:sz w:val="28"/>
          <w:szCs w:val="28"/>
        </w:rPr>
        <w:t>їни щодо обмеження повноваже</w:t>
      </w:r>
      <w:r w:rsidRPr="00E03BDE">
        <w:rPr>
          <w:rFonts w:ascii="Times New Roman" w:hAnsi="Times New Roman" w:cs="Times New Roman"/>
          <w:b w:val="0"/>
          <w:sz w:val="28"/>
          <w:szCs w:val="28"/>
        </w:rPr>
        <w:t>нь Президента. Натомість за вказівкою Голови Верховної Ради В. Рибака канцелярія Верховної Ради України відмовлялася реєструвати цей документ, що викликало обурення людей і призвело до зіткнень із силовиками в Марийському парку та на вулицях Шовковичній та Інститутській. Силовики перейшли в наступ, який переріс у жорстоке побиття не</w:t>
      </w:r>
      <w:r>
        <w:rPr>
          <w:rFonts w:ascii="Times New Roman" w:hAnsi="Times New Roman" w:cs="Times New Roman"/>
          <w:b w:val="0"/>
          <w:sz w:val="28"/>
          <w:szCs w:val="28"/>
        </w:rPr>
        <w:t xml:space="preserve">озброєних протестувальників, </w:t>
      </w:r>
      <w:r w:rsidRPr="00E03BDE">
        <w:rPr>
          <w:rFonts w:ascii="Times New Roman" w:hAnsi="Times New Roman" w:cs="Times New Roman"/>
          <w:b w:val="0"/>
          <w:sz w:val="28"/>
          <w:szCs w:val="28"/>
        </w:rPr>
        <w:t>їх відтіснили до Майдану Незалежності, понад 20 осіб загинуло.</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Однак протистояння не припинилося. У ніч із 18 на 19 лютого й протягом дня на Майдані Незалежності тривали бої. Силовики застосували бронетранспортери й водомети. Згорів Будинок профспілок. Проте зламати опір людей не вдалося. Переговори лідерів опозиції з В. Януковичем були безрезультатними.</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Уранці 20 лютого протестувальники перейшли в контрнаступ і, незважаючи на значні втрати (47 осіб було вбито, більшість із них розстріляли снайпери), змогли зайняти Український дім, Жовтневий палац та відтіснити силовиків до урядового кварталу. Наступ озброєних палицями і щитами протестувальників проти силовиків із вогнепальною зброєю остаточно переломив хід подій на користь </w:t>
      </w:r>
      <w:proofErr w:type="spellStart"/>
      <w:r w:rsidRPr="00E03BDE">
        <w:rPr>
          <w:rFonts w:ascii="Times New Roman" w:hAnsi="Times New Roman" w:cs="Times New Roman"/>
          <w:b w:val="0"/>
          <w:sz w:val="28"/>
          <w:szCs w:val="28"/>
        </w:rPr>
        <w:t>Євромайдану</w:t>
      </w:r>
      <w:proofErr w:type="spellEnd"/>
      <w:r w:rsidRPr="00E03BDE">
        <w:rPr>
          <w:rFonts w:ascii="Times New Roman" w:hAnsi="Times New Roman" w:cs="Times New Roman"/>
          <w:b w:val="0"/>
          <w:sz w:val="28"/>
          <w:szCs w:val="28"/>
        </w:rPr>
        <w:t>.</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Тим часом було скликано позачергове засідання парламенту.</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 22-й годині Верховна Рада ухвалила постанову «Про засудження застосування насильства, що призвело до загибелі людей», у якій дії силовиків були визнані незаконними, заборонялося застосування сили проти протестувальників у подальшому. За цю постанову проголосували 236 депутатів, у тому числі 35 депутатів від фракції Партії регіонів та 35 позафракційних. Жодного голосу не дала лише фракція КПУ.</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21 лютого лідери опозиції підписали з В. Януковичем угоду щодо врегулювання кризи в Україні. Протягом 48 годин із моменту її підписання </w:t>
      </w:r>
      <w:r w:rsidRPr="00E03BDE">
        <w:rPr>
          <w:rFonts w:ascii="Times New Roman" w:hAnsi="Times New Roman" w:cs="Times New Roman"/>
          <w:b w:val="0"/>
          <w:sz w:val="28"/>
          <w:szCs w:val="28"/>
        </w:rPr>
        <w:lastRenderedPageBreak/>
        <w:t xml:space="preserve">передбачалося: відновити дію Конституції України в редакції </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2004 р. та сформувати новий коаліційний уряд; до вересня 20</w:t>
      </w:r>
      <w:r>
        <w:rPr>
          <w:rFonts w:ascii="Times New Roman" w:hAnsi="Times New Roman" w:cs="Times New Roman"/>
          <w:b w:val="0"/>
          <w:sz w:val="28"/>
          <w:szCs w:val="28"/>
        </w:rPr>
        <w:t>14 р. провести консти</w:t>
      </w:r>
      <w:r w:rsidRPr="00E03BDE">
        <w:rPr>
          <w:rFonts w:ascii="Times New Roman" w:hAnsi="Times New Roman" w:cs="Times New Roman"/>
          <w:b w:val="0"/>
          <w:sz w:val="28"/>
          <w:szCs w:val="28"/>
        </w:rPr>
        <w:t>туційну реформу; до грудня 2014 р. провести позачергові президентські вибори; прийняти нове виборче законодавство та обрати н</w:t>
      </w:r>
      <w:r>
        <w:rPr>
          <w:rFonts w:ascii="Times New Roman" w:hAnsi="Times New Roman" w:cs="Times New Roman"/>
          <w:b w:val="0"/>
          <w:sz w:val="28"/>
          <w:szCs w:val="28"/>
        </w:rPr>
        <w:t>овий склад ЦВК; провести розслі</w:t>
      </w:r>
      <w:r w:rsidRPr="00E03BDE">
        <w:rPr>
          <w:rFonts w:ascii="Times New Roman" w:hAnsi="Times New Roman" w:cs="Times New Roman"/>
          <w:b w:val="0"/>
          <w:sz w:val="28"/>
          <w:szCs w:val="28"/>
        </w:rPr>
        <w:t>дування випадків насильства під наглядом Ради Європи. Також влада та опозиці</w:t>
      </w:r>
      <w:r>
        <w:rPr>
          <w:rFonts w:ascii="Times New Roman" w:hAnsi="Times New Roman" w:cs="Times New Roman"/>
          <w:b w:val="0"/>
          <w:sz w:val="28"/>
          <w:szCs w:val="28"/>
        </w:rPr>
        <w:t>я від</w:t>
      </w:r>
      <w:r w:rsidRPr="00E03BDE">
        <w:rPr>
          <w:rFonts w:ascii="Times New Roman" w:hAnsi="Times New Roman" w:cs="Times New Roman"/>
          <w:b w:val="0"/>
          <w:sz w:val="28"/>
          <w:szCs w:val="28"/>
        </w:rPr>
        <w:t>мовилися від силових дій. Угоду було засвідчено підписами глав держав Польщі, Німеччини, представниками Міністерства зовнішніх справ Франції. Представник Росії відмовився поставити свій підпис. Того ж дня Верховна Рада 386 голосами прийняла постанову про відновлення легітимного конституційного ладу (у редакції 2004 р.). Це означало, що буде сформовано новий уряд, а В. Янукович втратив можливість диктувати склад уряду.</w:t>
      </w:r>
    </w:p>
    <w:p w:rsidR="001745AD" w:rsidRPr="00E03BDE" w:rsidRDefault="001745AD" w:rsidP="001745AD">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21 </w:t>
      </w:r>
      <w:r w:rsidRPr="00E03BDE">
        <w:rPr>
          <w:rFonts w:ascii="Times New Roman" w:hAnsi="Times New Roman" w:cs="Times New Roman"/>
          <w:b w:val="0"/>
          <w:sz w:val="28"/>
          <w:szCs w:val="28"/>
        </w:rPr>
        <w:t xml:space="preserve">лютого ввечері Майдан зібрав тисячі людей. Уже після виступу лідерів опозиції на трибуну піднявся один із сотників Самооборони Майдану Володимир </w:t>
      </w:r>
      <w:proofErr w:type="spellStart"/>
      <w:r w:rsidRPr="00E03BDE">
        <w:rPr>
          <w:rFonts w:ascii="Times New Roman" w:hAnsi="Times New Roman" w:cs="Times New Roman"/>
          <w:b w:val="0"/>
          <w:sz w:val="28"/>
          <w:szCs w:val="28"/>
        </w:rPr>
        <w:t>Парасюк</w:t>
      </w:r>
      <w:proofErr w:type="spellEnd"/>
      <w:r w:rsidRPr="00E03BDE">
        <w:rPr>
          <w:rFonts w:ascii="Times New Roman" w:hAnsi="Times New Roman" w:cs="Times New Roman"/>
          <w:b w:val="0"/>
          <w:sz w:val="28"/>
          <w:szCs w:val="28"/>
        </w:rPr>
        <w:t xml:space="preserve">, який заявив, що Майдан не терпітиме В. Януковича ще рік, до виборів у грудні 2014 р. Було проголошено ультиматум: якщо В. Янукович до ранку не піде у відставку, то Самооборона Майдану буде змушена розпочати штурм будівлі Адміністрації Президента. У ніч із 21 на 22 лютого В. Янукович виїхав до Харкова, де 22 лютого мав відбутися з’їзд депутатів усіх рівнів </w:t>
      </w:r>
      <w:proofErr w:type="spellStart"/>
      <w:r w:rsidRPr="00E03BDE">
        <w:rPr>
          <w:rFonts w:ascii="Times New Roman" w:hAnsi="Times New Roman" w:cs="Times New Roman"/>
          <w:b w:val="0"/>
          <w:sz w:val="28"/>
          <w:szCs w:val="28"/>
        </w:rPr>
        <w:t>південносхідних</w:t>
      </w:r>
      <w:proofErr w:type="spellEnd"/>
      <w:r w:rsidRPr="00E03BDE">
        <w:rPr>
          <w:rFonts w:ascii="Times New Roman" w:hAnsi="Times New Roman" w:cs="Times New Roman"/>
          <w:b w:val="0"/>
          <w:sz w:val="28"/>
          <w:szCs w:val="28"/>
        </w:rPr>
        <w:t xml:space="preserve"> областей України, АР Крим і м. Севастополя. Проте не знайшовши підтримки в Харкові, В. Янукович утік до Росії. Україну залишили й інші представники його режиму.</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22</w:t>
      </w:r>
      <w:r w:rsidRPr="00E03BDE">
        <w:rPr>
          <w:rFonts w:ascii="Times New Roman" w:hAnsi="Times New Roman" w:cs="Times New Roman"/>
          <w:b w:val="0"/>
          <w:sz w:val="28"/>
          <w:szCs w:val="28"/>
        </w:rPr>
        <w:tab/>
        <w:t>лютого Верховна Рада України підтримала (328 голосів) постанову про усунення В. Януковича з посади Президента України, аргументуючи таке рішення його самоусуненням від виконання своїх обов’язків, і призначила позачергові вибори Президента України на 25 травня 2014 р. Головою Верховної Ради України став Олександр Турчинов. Наступного дня на нього також було покладено виконання обов’язків Президента.</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27 лютого 2014 р. Верховна Рада України призначила лідера партії «Батьківщина» А. Яценюка на посаду Прем’єр-міністра України. Був утворений новий уряд, підтриманий Майданом.</w:t>
      </w:r>
    </w:p>
    <w:p w:rsidR="001745AD"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Події листопада 2013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лютого 2014 р. отримали назву Революція Гідності, а 107 героїв, що загинули в боротьбі проти диктатури, назвали Небесною Сотнею. </w:t>
      </w:r>
      <w:r w:rsidRPr="00E03BDE">
        <w:rPr>
          <w:rFonts w:ascii="Times New Roman" w:hAnsi="Times New Roman" w:cs="Times New Roman"/>
          <w:b w:val="0"/>
          <w:sz w:val="28"/>
          <w:szCs w:val="28"/>
        </w:rPr>
        <w:lastRenderedPageBreak/>
        <w:t xml:space="preserve">Усім їм було посмертно присвоєно звання Героя України. </w:t>
      </w:r>
    </w:p>
    <w:p w:rsidR="001745AD" w:rsidRPr="001745AD" w:rsidRDefault="001745AD" w:rsidP="001745AD">
      <w:pPr>
        <w:spacing w:line="360" w:lineRule="auto"/>
        <w:ind w:firstLine="567"/>
        <w:jc w:val="both"/>
        <w:rPr>
          <w:rFonts w:ascii="Times New Roman" w:hAnsi="Times New Roman" w:cs="Times New Roman"/>
          <w:sz w:val="28"/>
          <w:szCs w:val="28"/>
        </w:rPr>
      </w:pPr>
      <w:r w:rsidRPr="001745AD">
        <w:rPr>
          <w:rFonts w:ascii="Times New Roman" w:hAnsi="Times New Roman" w:cs="Times New Roman"/>
          <w:sz w:val="28"/>
          <w:szCs w:val="28"/>
        </w:rPr>
        <w:t>Зовнішньополітичний курс України.</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Після президентських виборів 2004 р. нове українське керівництво на чолі з В. Ющенком проголосило курс на євроінтеграцію. Країни Європи та США позитивно сприйняли «помаранчеву революцію». Під час проведення в Києві конкурсу «Євробачення-2005» українське керівництво виступило з ініціативою скасування українських віз для громадян країн ЄС та Швейцарії.</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21 лютого 2005 р. Україна та ЄС підписали трирічний План дій щодо наближення України до стандартів європейських країн. Цей документ передбачав 270 невідкладних заходів, насамперед вступ до СОТ, демократизацію системи управління й забезпечення верховенства права, покращення інвестиційного клімату.</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1 грудня 2005 р. ЄС заявив, що визнає Україну країною з ринковою економікою.</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квітні 2006 р. на сесії Європарламенту було прийнято резолюцію, у якій Єврокомісії пропонувалося розпочати переговори з Україною про асоційоване членство в ЄС.</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Також між Україною та ЄС розпочалися переговори про скасування візового режиму. У листопаді 2010 р. було ухвалено План дій, який передбачав, що Україна запровадить біометричні паспорти, упорядкує охорону своїх східних кордонів тощо. </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24 листопада 2010 р. Європарламент ухвалив резолюцію про те, що Україна може подати заявку на членство в ЄС, як і будь-яка інша європейська країна, яка дотримується принципів свободи, демократії, поваги до прав людини, основоположних свобод і верховенства права. В. Ющенко також виступав за повноправне членство України в НАТО. Це було записано і у Воєнній доктрині. У квітні 2005 р. у Вільнюсі під час наради голів Міністерств закордонних справ країн НАТО відбулося засідання комісії «Україна</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НАТО», яка започаткувала інтенсивний діалог, що мав стати першим кроком на шляху входження України до НАТО. Цьому кроку України сприяли всі члени НАТО, але за умови підтримки його українським суспільством і досягнення внутрішньої стабільності в Україні. </w:t>
      </w:r>
      <w:r w:rsidRPr="00E03BDE">
        <w:rPr>
          <w:rFonts w:ascii="Times New Roman" w:hAnsi="Times New Roman" w:cs="Times New Roman"/>
          <w:b w:val="0"/>
          <w:sz w:val="28"/>
          <w:szCs w:val="28"/>
        </w:rPr>
        <w:lastRenderedPageBreak/>
        <w:t>Активним противником вступу України до НАТО виступила Росія. На початку 2008 р. виник скандал, приводом до якого стала заява Генерального секретаря НАТО про те, що організація отримала лист за підписом Президента України, Прем’єр-міністра й Голови Верховної Ради з проханням приєднати Україну до Плану дій із набуття членства в НАТО.</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Ситуація, що виникла, паралізувала роботу парламенту України на два місяці. Опозиція блокувала трибуну із гаслами «НАТО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ні!». Після обрання Президентом України В. Януковича нове українське керівництво заявило про позаблоковий статус України й небажання вступати до НАТО.</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квітні 2010 р. В. Янукович підписав указ, за яким ліквідував комісію з питань підготовки України до вступу в НАТО та національний центр із питань євроатлантичної інтеграції.</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Відносини зі США. За президентства В. Ющенка були досягнуті певні зрушення у відносинах зі СІНА, які погіршилися наприкінці президентства Л. Кучми.</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17 лютого 2006 р. після дев’яти років напружених переговорів СІНА надали Україні статус країни з ринковою економікою. Також СІНА відкрили Україні шлях вступу до СОТ. Для України також було скасовано поправку </w:t>
      </w:r>
      <w:proofErr w:type="spellStart"/>
      <w:r w:rsidRPr="00E03BDE">
        <w:rPr>
          <w:rFonts w:ascii="Times New Roman" w:hAnsi="Times New Roman" w:cs="Times New Roman"/>
          <w:b w:val="0"/>
          <w:sz w:val="28"/>
          <w:szCs w:val="28"/>
        </w:rPr>
        <w:t>Джексона</w:t>
      </w:r>
      <w:r>
        <w:rPr>
          <w:rFonts w:ascii="Times New Roman" w:hAnsi="Times New Roman" w:cs="Times New Roman"/>
          <w:b w:val="0"/>
          <w:sz w:val="28"/>
          <w:szCs w:val="28"/>
        </w:rPr>
        <w:t>-</w:t>
      </w:r>
      <w:r w:rsidRPr="00E03BDE">
        <w:rPr>
          <w:rFonts w:ascii="Times New Roman" w:hAnsi="Times New Roman" w:cs="Times New Roman"/>
          <w:b w:val="0"/>
          <w:sz w:val="28"/>
          <w:szCs w:val="28"/>
        </w:rPr>
        <w:t>Вейніка</w:t>
      </w:r>
      <w:proofErr w:type="spellEnd"/>
      <w:r w:rsidRPr="00E03BDE">
        <w:rPr>
          <w:rFonts w:ascii="Times New Roman" w:hAnsi="Times New Roman" w:cs="Times New Roman"/>
          <w:b w:val="0"/>
          <w:sz w:val="28"/>
          <w:szCs w:val="28"/>
        </w:rPr>
        <w:t xml:space="preserve">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заборону на експорт товарів подвійного призначення (для військового та цивільного використання). На саміті НАТО СІНА лобіювали вступ України та Грузії до цієї організації.</w:t>
      </w:r>
    </w:p>
    <w:p w:rsidR="001745AD" w:rsidRPr="00E03BDE"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Після зміни керівництва України</w:t>
      </w:r>
      <w:r>
        <w:rPr>
          <w:rFonts w:ascii="Times New Roman" w:hAnsi="Times New Roman" w:cs="Times New Roman"/>
          <w:b w:val="0"/>
          <w:sz w:val="28"/>
          <w:szCs w:val="28"/>
        </w:rPr>
        <w:t xml:space="preserve"> відбулися зміни і в українсько-а</w:t>
      </w:r>
      <w:r w:rsidRPr="00E03BDE">
        <w:rPr>
          <w:rFonts w:ascii="Times New Roman" w:hAnsi="Times New Roman" w:cs="Times New Roman"/>
          <w:b w:val="0"/>
          <w:sz w:val="28"/>
          <w:szCs w:val="28"/>
        </w:rPr>
        <w:t xml:space="preserve">мериканських відносинах. Під час візиту до США В. Януковича </w:t>
      </w:r>
    </w:p>
    <w:p w:rsidR="001745AD" w:rsidRDefault="001745AD" w:rsidP="001745A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2010 р. вдалося налагодити діалог між двома країнами, хоча українську делегацію зустріли вкрай прохолодно, а представники української діаспори відмовилися від зустрічі.</w:t>
      </w:r>
    </w:p>
    <w:p w:rsidR="0095568F" w:rsidRPr="00664B1B" w:rsidRDefault="0095568F" w:rsidP="0095568F">
      <w:pPr>
        <w:spacing w:line="360" w:lineRule="auto"/>
        <w:ind w:firstLine="567"/>
        <w:jc w:val="both"/>
        <w:rPr>
          <w:rFonts w:ascii="Times New Roman" w:hAnsi="Times New Roman" w:cs="Times New Roman"/>
          <w:sz w:val="28"/>
          <w:szCs w:val="28"/>
        </w:rPr>
      </w:pPr>
      <w:r w:rsidRPr="00664B1B">
        <w:rPr>
          <w:rFonts w:ascii="Times New Roman" w:hAnsi="Times New Roman" w:cs="Times New Roman"/>
          <w:sz w:val="28"/>
          <w:szCs w:val="28"/>
        </w:rPr>
        <w:t xml:space="preserve">Гібридна війна Росії проти України. </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Найскладніше розвивалися відносини України з Росією. Після обрання Президентом України В. Ющенка Росія розгорнула політику щодо забезпечення контролю над Україною, яка передбачала заходи в економічній, політичній, культурній, релігійній сферах, міжнародних відносинах.</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lastRenderedPageBreak/>
        <w:t>В економічній сфері Росія намагалася взяти під свій контроль провідні підприємства й цілі галузі України. Особливо російську сторону цікавив контроль над газотранспортною системою України.</w:t>
      </w:r>
    </w:p>
    <w:tbl>
      <w:tblPr>
        <w:tblW w:w="0" w:type="auto"/>
        <w:tblLayout w:type="fixed"/>
        <w:tblCellMar>
          <w:left w:w="10" w:type="dxa"/>
          <w:right w:w="10" w:type="dxa"/>
        </w:tblCellMar>
        <w:tblLook w:val="0000" w:firstRow="0" w:lastRow="0" w:firstColumn="0" w:lastColumn="0" w:noHBand="0" w:noVBand="0"/>
      </w:tblPr>
      <w:tblGrid>
        <w:gridCol w:w="1138"/>
        <w:gridCol w:w="1699"/>
        <w:gridCol w:w="4195"/>
      </w:tblGrid>
      <w:tr w:rsidR="0095568F" w:rsidRPr="00664B1B" w:rsidTr="00FA6E53">
        <w:tblPrEx>
          <w:tblCellMar>
            <w:top w:w="0" w:type="dxa"/>
            <w:bottom w:w="0" w:type="dxa"/>
          </w:tblCellMar>
        </w:tblPrEx>
        <w:trPr>
          <w:trHeight w:hRule="exact" w:val="307"/>
        </w:trPr>
        <w:tc>
          <w:tcPr>
            <w:tcW w:w="1138" w:type="dxa"/>
            <w:vMerge w:val="restart"/>
            <w:tcBorders>
              <w:top w:val="single" w:sz="4" w:space="0" w:color="auto"/>
              <w:left w:val="single" w:sz="4" w:space="0" w:color="auto"/>
            </w:tcBorders>
            <w:shd w:val="clear" w:color="auto" w:fill="FFFFFF"/>
            <w:vAlign w:val="center"/>
          </w:tcPr>
          <w:p w:rsidR="0095568F" w:rsidRPr="00664B1B" w:rsidRDefault="0095568F" w:rsidP="00FA6E53">
            <w:pPr>
              <w:spacing w:line="160" w:lineRule="exact"/>
              <w:ind w:left="180"/>
              <w:rPr>
                <w:rFonts w:ascii="Bookman Old Style" w:eastAsia="Bookman Old Style" w:hAnsi="Bookman Old Style" w:cs="Bookman Old Style"/>
                <w:b w:val="0"/>
                <w:sz w:val="18"/>
                <w:szCs w:val="18"/>
              </w:rPr>
            </w:pPr>
            <w:r w:rsidRPr="00664B1B">
              <w:rPr>
                <w:rFonts w:ascii="Arial" w:eastAsia="Arial" w:hAnsi="Arial" w:cs="Arial"/>
                <w:b w:val="0"/>
                <w:sz w:val="16"/>
                <w:szCs w:val="16"/>
              </w:rPr>
              <w:t>Мета Росії</w:t>
            </w:r>
          </w:p>
        </w:tc>
        <w:tc>
          <w:tcPr>
            <w:tcW w:w="5894" w:type="dxa"/>
            <w:gridSpan w:val="2"/>
            <w:tcBorders>
              <w:top w:val="single" w:sz="4" w:space="0" w:color="auto"/>
              <w:left w:val="single" w:sz="4" w:space="0" w:color="auto"/>
              <w:right w:val="single" w:sz="4" w:space="0" w:color="auto"/>
            </w:tcBorders>
            <w:shd w:val="clear" w:color="auto" w:fill="FFFFFF"/>
            <w:vAlign w:val="bottom"/>
          </w:tcPr>
          <w:p w:rsidR="0095568F" w:rsidRPr="00664B1B" w:rsidRDefault="0095568F" w:rsidP="00FA6E53">
            <w:pPr>
              <w:spacing w:line="160" w:lineRule="exact"/>
              <w:jc w:val="both"/>
              <w:rPr>
                <w:rFonts w:ascii="Bookman Old Style" w:eastAsia="Bookman Old Style" w:hAnsi="Bookman Old Style" w:cs="Bookman Old Style"/>
                <w:b w:val="0"/>
                <w:sz w:val="18"/>
                <w:szCs w:val="18"/>
              </w:rPr>
            </w:pPr>
            <w:r w:rsidRPr="00664B1B">
              <w:rPr>
                <w:rFonts w:ascii="Trebuchet MS" w:eastAsia="Trebuchet MS" w:hAnsi="Trebuchet MS" w:cs="Trebuchet MS"/>
                <w:b w:val="0"/>
                <w:i/>
                <w:iCs/>
                <w:sz w:val="9"/>
                <w:szCs w:val="9"/>
              </w:rPr>
              <w:t>і</w:t>
            </w:r>
            <w:r w:rsidRPr="00664B1B">
              <w:rPr>
                <w:rFonts w:ascii="Arial" w:eastAsia="Arial" w:hAnsi="Arial" w:cs="Arial"/>
                <w:b w:val="0"/>
                <w:sz w:val="16"/>
                <w:szCs w:val="16"/>
              </w:rPr>
              <w:t xml:space="preserve"> Підірвати авторитет України як країни-транзитера</w:t>
            </w:r>
          </w:p>
        </w:tc>
      </w:tr>
      <w:tr w:rsidR="0095568F" w:rsidRPr="00664B1B" w:rsidTr="00FA6E53">
        <w:tblPrEx>
          <w:tblCellMar>
            <w:top w:w="0" w:type="dxa"/>
            <w:bottom w:w="0" w:type="dxa"/>
          </w:tblCellMar>
        </w:tblPrEx>
        <w:trPr>
          <w:trHeight w:hRule="exact" w:val="960"/>
        </w:trPr>
        <w:tc>
          <w:tcPr>
            <w:tcW w:w="1138" w:type="dxa"/>
            <w:vMerge/>
            <w:tcBorders>
              <w:left w:val="single" w:sz="4" w:space="0" w:color="auto"/>
            </w:tcBorders>
            <w:shd w:val="clear" w:color="auto" w:fill="FFFFFF"/>
            <w:vAlign w:val="center"/>
          </w:tcPr>
          <w:p w:rsidR="0095568F" w:rsidRPr="00664B1B" w:rsidRDefault="0095568F" w:rsidP="00FA6E53">
            <w:pPr>
              <w:rPr>
                <w:b w:val="0"/>
              </w:rPr>
            </w:pPr>
          </w:p>
        </w:tc>
        <w:tc>
          <w:tcPr>
            <w:tcW w:w="5894" w:type="dxa"/>
            <w:gridSpan w:val="2"/>
            <w:tcBorders>
              <w:top w:val="single" w:sz="4" w:space="0" w:color="auto"/>
              <w:left w:val="single" w:sz="4" w:space="0" w:color="auto"/>
              <w:right w:val="single" w:sz="4" w:space="0" w:color="auto"/>
            </w:tcBorders>
            <w:shd w:val="clear" w:color="auto" w:fill="FFFFFF"/>
            <w:vAlign w:val="bottom"/>
          </w:tcPr>
          <w:p w:rsidR="0095568F" w:rsidRPr="00664B1B" w:rsidRDefault="0095568F" w:rsidP="0095568F">
            <w:pPr>
              <w:numPr>
                <w:ilvl w:val="0"/>
                <w:numId w:val="15"/>
              </w:numPr>
              <w:tabs>
                <w:tab w:val="left" w:pos="134"/>
              </w:tabs>
              <w:spacing w:line="221" w:lineRule="exact"/>
              <w:jc w:val="both"/>
              <w:rPr>
                <w:rFonts w:ascii="Bookman Old Style" w:eastAsia="Bookman Old Style" w:hAnsi="Bookman Old Style" w:cs="Bookman Old Style"/>
                <w:b w:val="0"/>
                <w:sz w:val="18"/>
                <w:szCs w:val="18"/>
              </w:rPr>
            </w:pPr>
            <w:r w:rsidRPr="00664B1B">
              <w:rPr>
                <w:rFonts w:ascii="Arial" w:eastAsia="Arial" w:hAnsi="Arial" w:cs="Arial"/>
                <w:b w:val="0"/>
                <w:sz w:val="16"/>
                <w:szCs w:val="16"/>
              </w:rPr>
              <w:t>Заволодіти газотранспортною системою та газосховищами України.</w:t>
            </w:r>
          </w:p>
          <w:p w:rsidR="0095568F" w:rsidRPr="00664B1B" w:rsidRDefault="0095568F" w:rsidP="0095568F">
            <w:pPr>
              <w:numPr>
                <w:ilvl w:val="0"/>
                <w:numId w:val="15"/>
              </w:numPr>
              <w:tabs>
                <w:tab w:val="left" w:pos="384"/>
              </w:tabs>
              <w:spacing w:line="221"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Переконати Європу, що для досягнення стабільності в газовій сфері потрібні російські газопроводи й збереження лідерства Росії як постачальника енергоресурсів</w:t>
            </w:r>
          </w:p>
        </w:tc>
      </w:tr>
      <w:tr w:rsidR="0095568F" w:rsidRPr="00664B1B" w:rsidTr="00FA6E53">
        <w:tblPrEx>
          <w:tblCellMar>
            <w:top w:w="0" w:type="dxa"/>
            <w:bottom w:w="0" w:type="dxa"/>
          </w:tblCellMar>
        </w:tblPrEx>
        <w:trPr>
          <w:trHeight w:hRule="exact" w:val="307"/>
        </w:trPr>
        <w:tc>
          <w:tcPr>
            <w:tcW w:w="7032" w:type="dxa"/>
            <w:gridSpan w:val="3"/>
            <w:tcBorders>
              <w:top w:val="single" w:sz="4" w:space="0" w:color="auto"/>
              <w:left w:val="single" w:sz="4" w:space="0" w:color="auto"/>
              <w:right w:val="single" w:sz="4" w:space="0" w:color="auto"/>
            </w:tcBorders>
            <w:shd w:val="clear" w:color="auto" w:fill="FFFFFF"/>
            <w:vAlign w:val="bottom"/>
          </w:tcPr>
          <w:p w:rsidR="0095568F" w:rsidRPr="00664B1B" w:rsidRDefault="0095568F" w:rsidP="00FA6E53">
            <w:pPr>
              <w:spacing w:line="160" w:lineRule="exact"/>
              <w:jc w:val="center"/>
              <w:rPr>
                <w:rFonts w:ascii="Bookman Old Style" w:eastAsia="Bookman Old Style" w:hAnsi="Bookman Old Style" w:cs="Bookman Old Style"/>
                <w:b w:val="0"/>
                <w:sz w:val="18"/>
                <w:szCs w:val="18"/>
              </w:rPr>
            </w:pPr>
            <w:r w:rsidRPr="00664B1B">
              <w:rPr>
                <w:rFonts w:ascii="Arial" w:eastAsia="Arial" w:hAnsi="Arial" w:cs="Arial"/>
                <w:b w:val="0"/>
                <w:sz w:val="16"/>
                <w:szCs w:val="16"/>
              </w:rPr>
              <w:t>Основний зміст</w:t>
            </w:r>
          </w:p>
        </w:tc>
      </w:tr>
      <w:tr w:rsidR="0095568F" w:rsidRPr="00664B1B" w:rsidTr="00FA6E53">
        <w:tblPrEx>
          <w:tblCellMar>
            <w:top w:w="0" w:type="dxa"/>
            <w:bottom w:w="0" w:type="dxa"/>
          </w:tblCellMar>
        </w:tblPrEx>
        <w:trPr>
          <w:trHeight w:hRule="exact" w:val="302"/>
        </w:trPr>
        <w:tc>
          <w:tcPr>
            <w:tcW w:w="2837" w:type="dxa"/>
            <w:gridSpan w:val="2"/>
            <w:tcBorders>
              <w:top w:val="single" w:sz="4" w:space="0" w:color="auto"/>
              <w:left w:val="single" w:sz="4" w:space="0" w:color="auto"/>
            </w:tcBorders>
            <w:shd w:val="clear" w:color="auto" w:fill="FFFFFF"/>
            <w:vAlign w:val="bottom"/>
          </w:tcPr>
          <w:p w:rsidR="0095568F" w:rsidRPr="00664B1B" w:rsidRDefault="0095568F" w:rsidP="00FA6E53">
            <w:pPr>
              <w:spacing w:line="160" w:lineRule="exact"/>
              <w:jc w:val="center"/>
              <w:rPr>
                <w:rFonts w:ascii="Bookman Old Style" w:eastAsia="Bookman Old Style" w:hAnsi="Bookman Old Style" w:cs="Bookman Old Style"/>
                <w:b w:val="0"/>
                <w:sz w:val="18"/>
                <w:szCs w:val="18"/>
              </w:rPr>
            </w:pPr>
            <w:r w:rsidRPr="00664B1B">
              <w:rPr>
                <w:rFonts w:ascii="Arial" w:eastAsia="Arial" w:hAnsi="Arial" w:cs="Arial"/>
                <w:b w:val="0"/>
                <w:sz w:val="16"/>
                <w:szCs w:val="16"/>
              </w:rPr>
              <w:t>2005—2006 рр.</w:t>
            </w:r>
          </w:p>
        </w:tc>
        <w:tc>
          <w:tcPr>
            <w:tcW w:w="4195" w:type="dxa"/>
            <w:tcBorders>
              <w:top w:val="single" w:sz="4" w:space="0" w:color="auto"/>
              <w:left w:val="single" w:sz="4" w:space="0" w:color="auto"/>
              <w:right w:val="single" w:sz="4" w:space="0" w:color="auto"/>
            </w:tcBorders>
            <w:shd w:val="clear" w:color="auto" w:fill="FFFFFF"/>
            <w:vAlign w:val="bottom"/>
          </w:tcPr>
          <w:p w:rsidR="0095568F" w:rsidRPr="00664B1B" w:rsidRDefault="0095568F" w:rsidP="00FA6E53">
            <w:pPr>
              <w:spacing w:line="160" w:lineRule="exact"/>
              <w:jc w:val="center"/>
              <w:rPr>
                <w:rFonts w:ascii="Bookman Old Style" w:eastAsia="Bookman Old Style" w:hAnsi="Bookman Old Style" w:cs="Bookman Old Style"/>
                <w:b w:val="0"/>
                <w:sz w:val="18"/>
                <w:szCs w:val="18"/>
              </w:rPr>
            </w:pPr>
            <w:r w:rsidRPr="00664B1B">
              <w:rPr>
                <w:rFonts w:ascii="Arial" w:eastAsia="Arial" w:hAnsi="Arial" w:cs="Arial"/>
                <w:b w:val="0"/>
                <w:sz w:val="16"/>
                <w:szCs w:val="16"/>
              </w:rPr>
              <w:t>2008—2009 рр.</w:t>
            </w:r>
          </w:p>
        </w:tc>
      </w:tr>
      <w:tr w:rsidR="0095568F" w:rsidRPr="00664B1B" w:rsidTr="00FA6E53">
        <w:tblPrEx>
          <w:tblCellMar>
            <w:top w:w="0" w:type="dxa"/>
            <w:bottom w:w="0" w:type="dxa"/>
          </w:tblCellMar>
        </w:tblPrEx>
        <w:trPr>
          <w:trHeight w:hRule="exact" w:val="1402"/>
        </w:trPr>
        <w:tc>
          <w:tcPr>
            <w:tcW w:w="2837" w:type="dxa"/>
            <w:gridSpan w:val="2"/>
            <w:tcBorders>
              <w:top w:val="single" w:sz="4" w:space="0" w:color="auto"/>
              <w:left w:val="single" w:sz="4" w:space="0" w:color="auto"/>
            </w:tcBorders>
            <w:shd w:val="clear" w:color="auto" w:fill="FFFFFF"/>
          </w:tcPr>
          <w:p w:rsidR="0095568F" w:rsidRPr="00664B1B" w:rsidRDefault="0095568F" w:rsidP="00FA6E53">
            <w:pPr>
              <w:spacing w:line="216" w:lineRule="exact"/>
              <w:ind w:left="380" w:hanging="140"/>
              <w:rPr>
                <w:rFonts w:ascii="Bookman Old Style" w:eastAsia="Bookman Old Style" w:hAnsi="Bookman Old Style" w:cs="Bookman Old Style"/>
                <w:b w:val="0"/>
                <w:sz w:val="18"/>
                <w:szCs w:val="18"/>
              </w:rPr>
            </w:pPr>
            <w:r w:rsidRPr="00664B1B">
              <w:rPr>
                <w:rFonts w:ascii="Arial" w:eastAsia="Arial" w:hAnsi="Arial" w:cs="Arial"/>
                <w:b w:val="0"/>
                <w:sz w:val="16"/>
                <w:szCs w:val="16"/>
              </w:rPr>
              <w:t>► У відповідь на відмову України сплачувати ринкову ціну за природний газ Росія припинила його постачання до України</w:t>
            </w:r>
          </w:p>
        </w:tc>
        <w:tc>
          <w:tcPr>
            <w:tcW w:w="4195" w:type="dxa"/>
            <w:tcBorders>
              <w:top w:val="single" w:sz="4" w:space="0" w:color="auto"/>
              <w:left w:val="single" w:sz="4" w:space="0" w:color="auto"/>
              <w:right w:val="single" w:sz="4" w:space="0" w:color="auto"/>
            </w:tcBorders>
            <w:shd w:val="clear" w:color="auto" w:fill="FFFFFF"/>
            <w:vAlign w:val="bottom"/>
          </w:tcPr>
          <w:p w:rsidR="0095568F" w:rsidRPr="00664B1B" w:rsidRDefault="0095568F" w:rsidP="0095568F">
            <w:pPr>
              <w:numPr>
                <w:ilvl w:val="0"/>
                <w:numId w:val="16"/>
              </w:numPr>
              <w:tabs>
                <w:tab w:val="left" w:pos="394"/>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1 січня 2009 р. — російський «Газпром» перекрив постачання природного газу</w:t>
            </w:r>
          </w:p>
          <w:p w:rsidR="0095568F" w:rsidRPr="00664B1B" w:rsidRDefault="0095568F" w:rsidP="00FA6E53">
            <w:pPr>
              <w:spacing w:line="216" w:lineRule="exact"/>
              <w:ind w:left="380"/>
              <w:rPr>
                <w:rFonts w:ascii="Bookman Old Style" w:eastAsia="Bookman Old Style" w:hAnsi="Bookman Old Style" w:cs="Bookman Old Style"/>
                <w:b w:val="0"/>
                <w:sz w:val="18"/>
                <w:szCs w:val="18"/>
              </w:rPr>
            </w:pPr>
            <w:r w:rsidRPr="00664B1B">
              <w:rPr>
                <w:rFonts w:ascii="Arial" w:eastAsia="Arial" w:hAnsi="Arial" w:cs="Arial"/>
                <w:b w:val="0"/>
                <w:sz w:val="16"/>
                <w:szCs w:val="16"/>
              </w:rPr>
              <w:t xml:space="preserve">в Україну в обсязі 90 </w:t>
            </w:r>
            <w:proofErr w:type="spellStart"/>
            <w:r w:rsidRPr="00664B1B">
              <w:rPr>
                <w:rFonts w:ascii="Arial" w:eastAsia="Arial" w:hAnsi="Arial" w:cs="Arial"/>
                <w:b w:val="0"/>
                <w:sz w:val="16"/>
                <w:szCs w:val="16"/>
              </w:rPr>
              <w:t>млрд</w:t>
            </w:r>
            <w:proofErr w:type="spellEnd"/>
            <w:r w:rsidRPr="00664B1B">
              <w:rPr>
                <w:rFonts w:ascii="Arial" w:eastAsia="Arial" w:hAnsi="Arial" w:cs="Arial"/>
                <w:b w:val="0"/>
                <w:sz w:val="16"/>
                <w:szCs w:val="16"/>
              </w:rPr>
              <w:t xml:space="preserve"> м</w:t>
            </w:r>
            <w:r w:rsidRPr="00664B1B">
              <w:rPr>
                <w:rFonts w:ascii="Arial" w:eastAsia="Arial" w:hAnsi="Arial" w:cs="Arial"/>
                <w:b w:val="0"/>
                <w:sz w:val="16"/>
                <w:szCs w:val="16"/>
                <w:vertAlign w:val="superscript"/>
              </w:rPr>
              <w:t>3</w:t>
            </w:r>
            <w:r w:rsidRPr="00664B1B">
              <w:rPr>
                <w:rFonts w:ascii="Arial" w:eastAsia="Arial" w:hAnsi="Arial" w:cs="Arial"/>
                <w:b w:val="0"/>
                <w:sz w:val="16"/>
                <w:szCs w:val="16"/>
              </w:rPr>
              <w:t>, а 7 січня 2009 р. повністю припинив постачання.</w:t>
            </w:r>
          </w:p>
          <w:p w:rsidR="0095568F" w:rsidRPr="00664B1B" w:rsidRDefault="0095568F" w:rsidP="0095568F">
            <w:pPr>
              <w:numPr>
                <w:ilvl w:val="0"/>
                <w:numId w:val="16"/>
              </w:numPr>
              <w:tabs>
                <w:tab w:val="left" w:pos="389"/>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 xml:space="preserve">Головна вимога — сплата боргів за </w:t>
            </w:r>
            <w:proofErr w:type="spellStart"/>
            <w:r w:rsidRPr="00664B1B">
              <w:rPr>
                <w:rFonts w:ascii="Arial" w:eastAsia="Arial" w:hAnsi="Arial" w:cs="Arial"/>
                <w:b w:val="0"/>
                <w:sz w:val="16"/>
                <w:szCs w:val="16"/>
              </w:rPr>
              <w:t>листопад-</w:t>
            </w:r>
            <w:proofErr w:type="spellEnd"/>
            <w:r w:rsidRPr="00664B1B">
              <w:rPr>
                <w:rFonts w:ascii="Arial" w:eastAsia="Arial" w:hAnsi="Arial" w:cs="Arial"/>
                <w:b w:val="0"/>
                <w:sz w:val="16"/>
                <w:szCs w:val="16"/>
              </w:rPr>
              <w:t xml:space="preserve"> грудень 2008 р.</w:t>
            </w:r>
          </w:p>
        </w:tc>
      </w:tr>
      <w:tr w:rsidR="0095568F" w:rsidRPr="00664B1B" w:rsidTr="00FA6E53">
        <w:tblPrEx>
          <w:tblCellMar>
            <w:top w:w="0" w:type="dxa"/>
            <w:bottom w:w="0" w:type="dxa"/>
          </w:tblCellMar>
        </w:tblPrEx>
        <w:trPr>
          <w:trHeight w:hRule="exact" w:val="2285"/>
        </w:trPr>
        <w:tc>
          <w:tcPr>
            <w:tcW w:w="2837" w:type="dxa"/>
            <w:gridSpan w:val="2"/>
            <w:tcBorders>
              <w:top w:val="single" w:sz="4" w:space="0" w:color="auto"/>
              <w:left w:val="single" w:sz="4" w:space="0" w:color="auto"/>
            </w:tcBorders>
            <w:shd w:val="clear" w:color="auto" w:fill="FFFFFF"/>
          </w:tcPr>
          <w:p w:rsidR="0095568F" w:rsidRPr="00664B1B" w:rsidRDefault="0095568F" w:rsidP="0095568F">
            <w:pPr>
              <w:numPr>
                <w:ilvl w:val="0"/>
                <w:numId w:val="17"/>
              </w:numPr>
              <w:tabs>
                <w:tab w:val="left" w:pos="374"/>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4 січня 2005 р. — договір між «Газпромом» та «Нафтогазом України» на п'ять років.</w:t>
            </w:r>
          </w:p>
          <w:p w:rsidR="0095568F" w:rsidRPr="00664B1B" w:rsidRDefault="0095568F" w:rsidP="0095568F">
            <w:pPr>
              <w:numPr>
                <w:ilvl w:val="0"/>
                <w:numId w:val="17"/>
              </w:numPr>
              <w:tabs>
                <w:tab w:val="left" w:pos="384"/>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Посередником стала компанія «</w:t>
            </w:r>
            <w:proofErr w:type="spellStart"/>
            <w:r w:rsidRPr="00664B1B">
              <w:rPr>
                <w:rFonts w:ascii="Arial" w:eastAsia="Arial" w:hAnsi="Arial" w:cs="Arial"/>
                <w:b w:val="0"/>
                <w:sz w:val="16"/>
                <w:szCs w:val="16"/>
              </w:rPr>
              <w:t>РосУкрЕнерго</w:t>
            </w:r>
            <w:proofErr w:type="spellEnd"/>
            <w:r w:rsidRPr="00664B1B">
              <w:rPr>
                <w:rFonts w:ascii="Arial" w:eastAsia="Arial" w:hAnsi="Arial" w:cs="Arial"/>
                <w:b w:val="0"/>
                <w:sz w:val="16"/>
                <w:szCs w:val="16"/>
              </w:rPr>
              <w:t>».</w:t>
            </w:r>
          </w:p>
          <w:p w:rsidR="0095568F" w:rsidRPr="00664B1B" w:rsidRDefault="0095568F" w:rsidP="0095568F">
            <w:pPr>
              <w:numPr>
                <w:ilvl w:val="0"/>
                <w:numId w:val="17"/>
              </w:numPr>
              <w:tabs>
                <w:tab w:val="left" w:pos="384"/>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Ціна на природний газ на перше півріччя 2005 р. склала 95 дол./м</w:t>
            </w:r>
            <w:r w:rsidRPr="00664B1B">
              <w:rPr>
                <w:rFonts w:ascii="Arial" w:eastAsia="Arial" w:hAnsi="Arial" w:cs="Arial"/>
                <w:b w:val="0"/>
                <w:sz w:val="16"/>
                <w:szCs w:val="16"/>
                <w:vertAlign w:val="superscript"/>
              </w:rPr>
              <w:t>3</w:t>
            </w:r>
          </w:p>
        </w:tc>
        <w:tc>
          <w:tcPr>
            <w:tcW w:w="4195" w:type="dxa"/>
            <w:tcBorders>
              <w:top w:val="single" w:sz="4" w:space="0" w:color="auto"/>
              <w:left w:val="single" w:sz="4" w:space="0" w:color="auto"/>
              <w:right w:val="single" w:sz="4" w:space="0" w:color="auto"/>
            </w:tcBorders>
            <w:shd w:val="clear" w:color="auto" w:fill="FFFFFF"/>
            <w:vAlign w:val="bottom"/>
          </w:tcPr>
          <w:p w:rsidR="0095568F" w:rsidRPr="00664B1B" w:rsidRDefault="0095568F" w:rsidP="0095568F">
            <w:pPr>
              <w:numPr>
                <w:ilvl w:val="0"/>
                <w:numId w:val="18"/>
              </w:numPr>
              <w:tabs>
                <w:tab w:val="left" w:pos="389"/>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Робота газотранспортної системи України в реверсному (зворотному) режимі, щоб забезпечити газом населення сходу й півдня.</w:t>
            </w:r>
          </w:p>
          <w:p w:rsidR="0095568F" w:rsidRPr="00664B1B" w:rsidRDefault="0095568F" w:rsidP="0095568F">
            <w:pPr>
              <w:numPr>
                <w:ilvl w:val="0"/>
                <w:numId w:val="18"/>
              </w:numPr>
              <w:tabs>
                <w:tab w:val="left" w:pos="389"/>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Підписання нового договору з Росією (19 січня 2009 р.) на 2009—2019 рр.</w:t>
            </w:r>
          </w:p>
          <w:p w:rsidR="0095568F" w:rsidRPr="00664B1B" w:rsidRDefault="0095568F" w:rsidP="0095568F">
            <w:pPr>
              <w:numPr>
                <w:ilvl w:val="0"/>
                <w:numId w:val="18"/>
              </w:numPr>
              <w:tabs>
                <w:tab w:val="left" w:pos="374"/>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Ліквідація компанії-посередника «</w:t>
            </w:r>
            <w:proofErr w:type="spellStart"/>
            <w:r w:rsidRPr="00664B1B">
              <w:rPr>
                <w:rFonts w:ascii="Arial" w:eastAsia="Arial" w:hAnsi="Arial" w:cs="Arial"/>
                <w:b w:val="0"/>
                <w:sz w:val="16"/>
                <w:szCs w:val="16"/>
              </w:rPr>
              <w:t>РосУкрЕнерго</w:t>
            </w:r>
            <w:proofErr w:type="spellEnd"/>
            <w:r w:rsidRPr="00664B1B">
              <w:rPr>
                <w:rFonts w:ascii="Arial" w:eastAsia="Arial" w:hAnsi="Arial" w:cs="Arial"/>
                <w:b w:val="0"/>
                <w:sz w:val="16"/>
                <w:szCs w:val="16"/>
              </w:rPr>
              <w:t>».</w:t>
            </w:r>
          </w:p>
          <w:p w:rsidR="0095568F" w:rsidRPr="00664B1B" w:rsidRDefault="0095568F" w:rsidP="0095568F">
            <w:pPr>
              <w:numPr>
                <w:ilvl w:val="0"/>
                <w:numId w:val="18"/>
              </w:numPr>
              <w:tabs>
                <w:tab w:val="left" w:pos="384"/>
              </w:tabs>
              <w:spacing w:line="216"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Середньорічна ціна природного газу для України становила 228,8 дол./м</w:t>
            </w:r>
            <w:r w:rsidRPr="00664B1B">
              <w:rPr>
                <w:rFonts w:ascii="Arial" w:eastAsia="Arial" w:hAnsi="Arial" w:cs="Arial"/>
                <w:b w:val="0"/>
                <w:sz w:val="16"/>
                <w:szCs w:val="16"/>
                <w:vertAlign w:val="superscript"/>
              </w:rPr>
              <w:t>3</w:t>
            </w:r>
            <w:r w:rsidRPr="00664B1B">
              <w:rPr>
                <w:rFonts w:ascii="Arial" w:eastAsia="Arial" w:hAnsi="Arial" w:cs="Arial"/>
                <w:b w:val="0"/>
                <w:sz w:val="16"/>
                <w:szCs w:val="16"/>
              </w:rPr>
              <w:t>,</w:t>
            </w:r>
          </w:p>
          <w:p w:rsidR="0095568F" w:rsidRPr="00664B1B" w:rsidRDefault="0095568F" w:rsidP="00FA6E53">
            <w:pPr>
              <w:spacing w:line="216" w:lineRule="exact"/>
              <w:ind w:left="380"/>
              <w:rPr>
                <w:rFonts w:ascii="Bookman Old Style" w:eastAsia="Bookman Old Style" w:hAnsi="Bookman Old Style" w:cs="Bookman Old Style"/>
                <w:b w:val="0"/>
                <w:sz w:val="18"/>
                <w:szCs w:val="18"/>
              </w:rPr>
            </w:pPr>
            <w:r w:rsidRPr="00664B1B">
              <w:rPr>
                <w:rFonts w:ascii="Arial" w:eastAsia="Arial" w:hAnsi="Arial" w:cs="Arial"/>
                <w:b w:val="0"/>
                <w:sz w:val="16"/>
                <w:szCs w:val="16"/>
              </w:rPr>
              <w:t>у першому кварталі — 300 дол./м</w:t>
            </w:r>
            <w:r w:rsidRPr="00664B1B">
              <w:rPr>
                <w:rFonts w:ascii="Arial" w:eastAsia="Arial" w:hAnsi="Arial" w:cs="Arial"/>
                <w:b w:val="0"/>
                <w:sz w:val="16"/>
                <w:szCs w:val="16"/>
                <w:vertAlign w:val="superscript"/>
              </w:rPr>
              <w:t>3</w:t>
            </w:r>
          </w:p>
        </w:tc>
      </w:tr>
      <w:tr w:rsidR="0095568F" w:rsidRPr="00664B1B" w:rsidTr="00FA6E53">
        <w:tblPrEx>
          <w:tblCellMar>
            <w:top w:w="0" w:type="dxa"/>
            <w:bottom w:w="0" w:type="dxa"/>
          </w:tblCellMar>
        </w:tblPrEx>
        <w:trPr>
          <w:trHeight w:hRule="exact" w:val="974"/>
        </w:trPr>
        <w:tc>
          <w:tcPr>
            <w:tcW w:w="1138" w:type="dxa"/>
            <w:tcBorders>
              <w:top w:val="single" w:sz="4" w:space="0" w:color="auto"/>
              <w:left w:val="single" w:sz="4" w:space="0" w:color="auto"/>
              <w:bottom w:val="single" w:sz="4" w:space="0" w:color="auto"/>
            </w:tcBorders>
            <w:shd w:val="clear" w:color="auto" w:fill="FFFFFF"/>
            <w:vAlign w:val="center"/>
          </w:tcPr>
          <w:p w:rsidR="0095568F" w:rsidRPr="00664B1B" w:rsidRDefault="0095568F" w:rsidP="00FA6E53">
            <w:pPr>
              <w:spacing w:line="160" w:lineRule="exact"/>
              <w:ind w:left="220"/>
              <w:rPr>
                <w:rFonts w:ascii="Bookman Old Style" w:eastAsia="Bookman Old Style" w:hAnsi="Bookman Old Style" w:cs="Bookman Old Style"/>
                <w:b w:val="0"/>
                <w:sz w:val="18"/>
                <w:szCs w:val="18"/>
              </w:rPr>
            </w:pPr>
            <w:r w:rsidRPr="00664B1B">
              <w:rPr>
                <w:rFonts w:ascii="Arial" w:eastAsia="Arial" w:hAnsi="Arial" w:cs="Arial"/>
                <w:b w:val="0"/>
                <w:sz w:val="16"/>
                <w:szCs w:val="16"/>
              </w:rPr>
              <w:t>Результат</w:t>
            </w:r>
          </w:p>
        </w:tc>
        <w:tc>
          <w:tcPr>
            <w:tcW w:w="589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rsidR="0095568F" w:rsidRPr="00664B1B" w:rsidRDefault="0095568F" w:rsidP="0095568F">
            <w:pPr>
              <w:numPr>
                <w:ilvl w:val="0"/>
                <w:numId w:val="19"/>
              </w:numPr>
              <w:tabs>
                <w:tab w:val="left" w:pos="370"/>
              </w:tabs>
              <w:spacing w:line="221"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Удар по авторитету Росії як надійного постачальника природного газу.</w:t>
            </w:r>
          </w:p>
          <w:p w:rsidR="0095568F" w:rsidRPr="00664B1B" w:rsidRDefault="0095568F" w:rsidP="0095568F">
            <w:pPr>
              <w:numPr>
                <w:ilvl w:val="0"/>
                <w:numId w:val="19"/>
              </w:numPr>
              <w:tabs>
                <w:tab w:val="left" w:pos="384"/>
              </w:tabs>
              <w:spacing w:line="221" w:lineRule="exact"/>
              <w:rPr>
                <w:rFonts w:ascii="Bookman Old Style" w:eastAsia="Bookman Old Style" w:hAnsi="Bookman Old Style" w:cs="Bookman Old Style"/>
                <w:b w:val="0"/>
                <w:sz w:val="18"/>
                <w:szCs w:val="18"/>
              </w:rPr>
            </w:pPr>
            <w:r w:rsidRPr="00664B1B">
              <w:rPr>
                <w:rFonts w:ascii="Arial" w:eastAsia="Arial" w:hAnsi="Arial" w:cs="Arial"/>
                <w:b w:val="0"/>
                <w:sz w:val="16"/>
                <w:szCs w:val="16"/>
              </w:rPr>
              <w:t>Поява альтернативних проектів постачання природного газу до Європи</w:t>
            </w:r>
          </w:p>
        </w:tc>
      </w:tr>
    </w:tbl>
    <w:p w:rsidR="0095568F" w:rsidRDefault="0095568F" w:rsidP="0095568F">
      <w:pPr>
        <w:spacing w:line="360" w:lineRule="auto"/>
        <w:ind w:firstLine="567"/>
        <w:jc w:val="both"/>
        <w:rPr>
          <w:rFonts w:ascii="Times New Roman" w:hAnsi="Times New Roman" w:cs="Times New Roman"/>
          <w:b w:val="0"/>
          <w:sz w:val="28"/>
          <w:szCs w:val="28"/>
        </w:rPr>
      </w:pPr>
    </w:p>
    <w:p w:rsidR="0095568F" w:rsidRDefault="0095568F" w:rsidP="0095568F">
      <w:pPr>
        <w:spacing w:line="360" w:lineRule="auto"/>
        <w:ind w:firstLine="567"/>
        <w:jc w:val="both"/>
        <w:rPr>
          <w:rFonts w:ascii="Times New Roman" w:hAnsi="Times New Roman" w:cs="Times New Roman"/>
          <w:b w:val="0"/>
          <w:sz w:val="28"/>
          <w:szCs w:val="28"/>
        </w:rPr>
      </w:pP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політичній сфері Росія сприяла приходу до влади проросійських сил, які фактично були її маріонетками.</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На міжнародній арені Росія здійснювала кроки, щоб ізолювати Україну й заявити своє право на контроль над нею. Важливою складовою цих заходів була інформаційна політика (контроль над засобами масової інформації, нав’язування російської масової культури тощо) і діяльність Російської православної церкви з просуванням ідей «</w:t>
      </w:r>
      <w:proofErr w:type="spellStart"/>
      <w:r w:rsidRPr="00E03BDE">
        <w:rPr>
          <w:rFonts w:ascii="Times New Roman" w:hAnsi="Times New Roman" w:cs="Times New Roman"/>
          <w:b w:val="0"/>
          <w:sz w:val="28"/>
          <w:szCs w:val="28"/>
        </w:rPr>
        <w:t>русского</w:t>
      </w:r>
      <w:proofErr w:type="spellEnd"/>
      <w:r w:rsidRPr="00E03BDE">
        <w:rPr>
          <w:rFonts w:ascii="Times New Roman" w:hAnsi="Times New Roman" w:cs="Times New Roman"/>
          <w:b w:val="0"/>
          <w:sz w:val="28"/>
          <w:szCs w:val="28"/>
        </w:rPr>
        <w:t xml:space="preserve"> мира».</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руслі цих заходів слід розглядати газові конфлікти 2005</w:t>
      </w:r>
      <w:r>
        <w:rPr>
          <w:rFonts w:ascii="Times New Roman" w:hAnsi="Times New Roman" w:cs="Times New Roman"/>
          <w:b w:val="0"/>
          <w:sz w:val="28"/>
          <w:szCs w:val="28"/>
        </w:rPr>
        <w:t>-</w:t>
      </w:r>
      <w:r w:rsidRPr="00E03BDE">
        <w:rPr>
          <w:rFonts w:ascii="Times New Roman" w:hAnsi="Times New Roman" w:cs="Times New Roman"/>
          <w:b w:val="0"/>
          <w:sz w:val="28"/>
          <w:szCs w:val="28"/>
        </w:rPr>
        <w:t>2006 та 2008</w:t>
      </w:r>
      <w:r>
        <w:rPr>
          <w:rFonts w:ascii="Times New Roman" w:hAnsi="Times New Roman" w:cs="Times New Roman"/>
          <w:b w:val="0"/>
          <w:sz w:val="28"/>
          <w:szCs w:val="28"/>
        </w:rPr>
        <w:t>-</w:t>
      </w:r>
      <w:r w:rsidRPr="00E03BDE">
        <w:rPr>
          <w:rFonts w:ascii="Times New Roman" w:hAnsi="Times New Roman" w:cs="Times New Roman"/>
          <w:b w:val="0"/>
          <w:sz w:val="28"/>
          <w:szCs w:val="28"/>
        </w:rPr>
        <w:t>2009 рр. та торговельні війни.</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Серйозне напруження в українсько-росій</w:t>
      </w:r>
      <w:r>
        <w:rPr>
          <w:rFonts w:ascii="Times New Roman" w:hAnsi="Times New Roman" w:cs="Times New Roman"/>
          <w:b w:val="0"/>
          <w:sz w:val="28"/>
          <w:szCs w:val="28"/>
        </w:rPr>
        <w:t>ських відносинах виникло у 2008 </w:t>
      </w:r>
      <w:r w:rsidRPr="00E03BDE">
        <w:rPr>
          <w:rFonts w:ascii="Times New Roman" w:hAnsi="Times New Roman" w:cs="Times New Roman"/>
          <w:b w:val="0"/>
          <w:sz w:val="28"/>
          <w:szCs w:val="28"/>
        </w:rPr>
        <w:t>р. під час агресії Росії проти Грузії. Україна намагалася в тих умовах надати Грузії посильну допомогу.</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Ще один конфлікт із Росією у 2008 р. спалахнув у Криму, коли українська </w:t>
      </w:r>
      <w:r w:rsidRPr="00E03BDE">
        <w:rPr>
          <w:rFonts w:ascii="Times New Roman" w:hAnsi="Times New Roman" w:cs="Times New Roman"/>
          <w:b w:val="0"/>
          <w:sz w:val="28"/>
          <w:szCs w:val="28"/>
        </w:rPr>
        <w:lastRenderedPageBreak/>
        <w:t>сторона намагалася впорядкувати перебування російського Чорноморського флоту на півострові та взяти під свій контроль об’єкти навігації на узбережжі Чорного моря, які незаконно утримувала Росія. Проте внутрішні чвари серед українських політиків і прихід до влади В. Януковича не дали можливості зробити відповідні висновки й підготувати засоби протидії російській агресії в майбутньому.</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За роки президентства В. Януковича Україна стала ще більш вразливою для агресії Росії. Збройні Сили України були максимально ослаблені. Під російський контроль було взято СБУ, розвідку, міліцію.</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Увесь цей комплекс заходів і наступні дії Росії стали складовими гібридної війни.</w:t>
      </w:r>
    </w:p>
    <w:p w:rsidR="0095568F" w:rsidRPr="00664B1B" w:rsidRDefault="0095568F" w:rsidP="0095568F">
      <w:pPr>
        <w:spacing w:line="360" w:lineRule="auto"/>
        <w:ind w:firstLine="567"/>
        <w:jc w:val="both"/>
        <w:rPr>
          <w:rFonts w:ascii="Times New Roman" w:hAnsi="Times New Roman" w:cs="Times New Roman"/>
          <w:sz w:val="28"/>
          <w:szCs w:val="28"/>
        </w:rPr>
      </w:pPr>
      <w:r w:rsidRPr="00664B1B">
        <w:rPr>
          <w:rFonts w:ascii="Times New Roman" w:hAnsi="Times New Roman" w:cs="Times New Roman"/>
          <w:sz w:val="28"/>
          <w:szCs w:val="28"/>
        </w:rPr>
        <w:t xml:space="preserve">Окупація Росією Криму. </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Після подій на Майдані стрімко розгорнулася відкрита агресія Росії. Першим об’єктом став Крим. Операція із захоплення півострова розпочалася 20 лютого 2014 р. Цю дату можна вважати початком збройної агресії Російської Федерації проти України.</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Росія створила в Криму потужну агентурну мережу, яка в </w:t>
      </w:r>
      <w:proofErr w:type="spellStart"/>
      <w:r w:rsidRPr="00E03BDE">
        <w:rPr>
          <w:rFonts w:ascii="Times New Roman" w:hAnsi="Times New Roman" w:cs="Times New Roman"/>
          <w:b w:val="0"/>
          <w:sz w:val="28"/>
          <w:szCs w:val="28"/>
        </w:rPr>
        <w:t>будь-</w:t>
      </w:r>
      <w:proofErr w:type="spellEnd"/>
      <w:r w:rsidRPr="00E03BDE">
        <w:rPr>
          <w:rFonts w:ascii="Times New Roman" w:hAnsi="Times New Roman" w:cs="Times New Roman"/>
          <w:b w:val="0"/>
          <w:sz w:val="28"/>
          <w:szCs w:val="28"/>
        </w:rPr>
        <w:t xml:space="preserve"> який час була готова розпочати сепаратистський рух на півострові. Зокрема, 4 лютого 2014 р. Президія Верховної Ради Криму прийняла рішення про розгляд парламентом питання щодо зміни Конституції Криму. Також було заявлено про готовність звернутися до Росії із проханням про забезпечення гарантій прав жителів півострова.</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Після усунення від влади Президента України В. Януковича сепаратистські настрої в Криму вибухнули з новою силою. 23 лютого в Севастополі відбувся 20-тисячний мітинг, на якому було прийнято рішення не перераховувати в Київ податки, а міським головою проголошено громадянина Росії Олексія Чалого. 26 лютого перед будинком кримського парламенту відбулася акція сепаратистів, але</w:t>
      </w:r>
      <w:r>
        <w:rPr>
          <w:rFonts w:ascii="Times New Roman" w:hAnsi="Times New Roman" w:cs="Times New Roman"/>
          <w:b w:val="0"/>
          <w:sz w:val="28"/>
          <w:szCs w:val="28"/>
        </w:rPr>
        <w:t xml:space="preserve"> вона була нівельована проукра</w:t>
      </w:r>
      <w:r w:rsidRPr="00E03BDE">
        <w:rPr>
          <w:rFonts w:ascii="Times New Roman" w:hAnsi="Times New Roman" w:cs="Times New Roman"/>
          <w:b w:val="0"/>
          <w:sz w:val="28"/>
          <w:szCs w:val="28"/>
        </w:rPr>
        <w:t>їнським мітингом. У ніч на 27 лютого російський спецпідрозділ захопив парламент та уряд Криму, над ними підняли прапор Російської Федерації.</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Уранці депутатів Верховної Ради Автономної Республіки Крим зібрали в сесійній залі, де вони «ухвалили» рішення про призначення так званого </w:t>
      </w:r>
      <w:r w:rsidRPr="00E03BDE">
        <w:rPr>
          <w:rFonts w:ascii="Times New Roman" w:hAnsi="Times New Roman" w:cs="Times New Roman"/>
          <w:b w:val="0"/>
          <w:sz w:val="28"/>
          <w:szCs w:val="28"/>
        </w:rPr>
        <w:lastRenderedPageBreak/>
        <w:t>«референдуму» щодо статусу півострова.</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Того ж дня російськими військовослужбовцями було захоплено установи засобів масової інформації, зв’язку, аеропорт у Сімферополі, аеродром Бельбек у Севастополі, поромну переправу в Керчі. Невдовзі Чорноморський флот Російської Федерації заблокував військово-морські бази, де перебувал</w:t>
      </w:r>
      <w:r>
        <w:rPr>
          <w:rFonts w:ascii="Times New Roman" w:hAnsi="Times New Roman" w:cs="Times New Roman"/>
          <w:b w:val="0"/>
          <w:sz w:val="28"/>
          <w:szCs w:val="28"/>
        </w:rPr>
        <w:t xml:space="preserve">и </w:t>
      </w:r>
      <w:r w:rsidRPr="00E03BDE">
        <w:rPr>
          <w:rFonts w:ascii="Times New Roman" w:hAnsi="Times New Roman" w:cs="Times New Roman"/>
          <w:b w:val="0"/>
          <w:sz w:val="28"/>
          <w:szCs w:val="28"/>
        </w:rPr>
        <w:t>кораблі ВМС України, а російські спецпідрозділи разом із незаконними збройними формуваннями, які називали себе «Самооборона Криму», блокували українські військові частини.</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1 березня самопроголошений голова Ради Міністрів Криму Сергій Аксьонов, спираючись на це нелегітимне рішення, звернувся до президента Росії В. Путіна із проханням надати допомогу в «забезпеченні миру і спокою» на території Криму. Того ж дня президент Росії направив до Ради Федерації пропозицію щодо введення російських військ у Крим. Обидві палати Державної Думи проголосували за введення російських військ на територію України й, зокрема, у Крим.</w:t>
      </w:r>
    </w:p>
    <w:p w:rsidR="0095568F"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Починаючи з 1 березня російські війська розпочали масштабні силові акції, спрямовані на блокування українських військових баз на території Криму, захоплення адміністративних приміщень, контроль транспортних магістралей та інших стратегічно важливих об’єктів. Одразу захопити об’єкти не вдалося, незважаючи на зраду командувача флоту України Д. Березовського. Після майже місячної облоги й силових дій військові об’єкти України в Криму були захоплені. Дві третини особового склад</w:t>
      </w:r>
      <w:r>
        <w:rPr>
          <w:rFonts w:ascii="Times New Roman" w:hAnsi="Times New Roman" w:cs="Times New Roman"/>
          <w:b w:val="0"/>
          <w:sz w:val="28"/>
          <w:szCs w:val="28"/>
        </w:rPr>
        <w:t>у частин перейшли на бік Росії.</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той же час були непоодинокими приклади героїзму українських військових. Так, на аеродромі Бельбек українські військові на чолі з полковником Ю. </w:t>
      </w:r>
      <w:proofErr w:type="spellStart"/>
      <w:r w:rsidRPr="00E03BDE">
        <w:rPr>
          <w:rFonts w:ascii="Times New Roman" w:hAnsi="Times New Roman" w:cs="Times New Roman"/>
          <w:b w:val="0"/>
          <w:sz w:val="28"/>
          <w:szCs w:val="28"/>
        </w:rPr>
        <w:t>Мамчуром</w:t>
      </w:r>
      <w:proofErr w:type="spellEnd"/>
      <w:r w:rsidRPr="00E03BDE">
        <w:rPr>
          <w:rFonts w:ascii="Times New Roman" w:hAnsi="Times New Roman" w:cs="Times New Roman"/>
          <w:b w:val="0"/>
          <w:sz w:val="28"/>
          <w:szCs w:val="28"/>
        </w:rPr>
        <w:t xml:space="preserve"> без зброї, строєм, із розгорнутим прапором частини, виконуючи гімн України, розблокували частину. Морські піхотинці у Феодосії та моряки корабля «Черкаси» вчинили силовий опір нападникам. Частина курсантів військово-морського училища в Севастополі відмовилася складати присягу на вірність Росії, а екіпажі морської авіації України змогли перегнати свої літаки з Криму до Миколаєва тощо. Завдяки стійкості й опору українських військових вдалося повернути частину техніки і майна армії та флоту України. </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11 березня 2014 р. Верховна Рада Автономної Республіки Крим та Севастопольська міська рада прийняли Декларацію про незалежність Автономної </w:t>
      </w:r>
      <w:r w:rsidRPr="00E03BDE">
        <w:rPr>
          <w:rFonts w:ascii="Times New Roman" w:hAnsi="Times New Roman" w:cs="Times New Roman"/>
          <w:b w:val="0"/>
          <w:sz w:val="28"/>
          <w:szCs w:val="28"/>
        </w:rPr>
        <w:lastRenderedPageBreak/>
        <w:t>Республіки Крим та м. Севастополя. Згідно з нею в разі рішення народів Криму за результатами референдуму увійти до складу Російської Федерації Крим буде оголошений суверенною республікою і саме в такому статусі звернеться до уряду Росії з пропозицією про прийняття на основі відповідного міждержавного договору до складу Російської Федерації як нового суб’єкта.</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16 березня 2014 р. за рішенням кримського парламенту був проведений референдум щодо статусу Криму, який суперечив законодавству України. Незважаючи на указ виконувача обов’язків Президента України О. Турчинова про призупинення рішення кримського парламенту, а також усупереч рішенням Конституційного Суду України, який визнав оголошення референдуму таким, що не відповідає Конституції України, незважаючи на несхвальну позицію Ради Безпеки ООН, референдум було проведено. В умовах </w:t>
      </w:r>
      <w:proofErr w:type="spellStart"/>
      <w:r w:rsidRPr="00E03BDE">
        <w:rPr>
          <w:rFonts w:ascii="Times New Roman" w:hAnsi="Times New Roman" w:cs="Times New Roman"/>
          <w:b w:val="0"/>
          <w:sz w:val="28"/>
          <w:szCs w:val="28"/>
        </w:rPr>
        <w:t>бойкотування</w:t>
      </w:r>
      <w:proofErr w:type="spellEnd"/>
      <w:r w:rsidRPr="00E03BDE">
        <w:rPr>
          <w:rFonts w:ascii="Times New Roman" w:hAnsi="Times New Roman" w:cs="Times New Roman"/>
          <w:b w:val="0"/>
          <w:sz w:val="28"/>
          <w:szCs w:val="28"/>
        </w:rPr>
        <w:t xml:space="preserve"> референдуму кримськотатарським народом, присутності великої кількості озброєних російських військовослужбовців, а також масових фальсифікацій референдум в АРК нібито зібрав понад 1,2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заповнених бюлетенів (це відповідає 83,10 % загальної кількості виборців), із яких 96,77 % зробили вибір «за возз’єднання Криму з Росією на правах суб’єкта Російської Федерації». Насправді, як свідчать окремі російські парламентарі та лідери кримських татар, за незалежність Криму проголосувало приблизно 32</w:t>
      </w:r>
      <w:r>
        <w:rPr>
          <w:rFonts w:ascii="Times New Roman" w:hAnsi="Times New Roman" w:cs="Times New Roman"/>
          <w:b w:val="0"/>
          <w:sz w:val="28"/>
          <w:szCs w:val="28"/>
        </w:rPr>
        <w:t>-</w:t>
      </w:r>
      <w:r w:rsidRPr="00E03BDE">
        <w:rPr>
          <w:rFonts w:ascii="Times New Roman" w:hAnsi="Times New Roman" w:cs="Times New Roman"/>
          <w:b w:val="0"/>
          <w:sz w:val="28"/>
          <w:szCs w:val="28"/>
        </w:rPr>
        <w:t>34 % виборців, що взяли участь у референдумі.</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18 березня 2014 р. у Москві пре</w:t>
      </w:r>
      <w:r>
        <w:rPr>
          <w:rFonts w:ascii="Times New Roman" w:hAnsi="Times New Roman" w:cs="Times New Roman"/>
          <w:b w:val="0"/>
          <w:sz w:val="28"/>
          <w:szCs w:val="28"/>
        </w:rPr>
        <w:t>зидент Росії В. Путін, прем’єр-</w:t>
      </w:r>
      <w:bookmarkStart w:id="0" w:name="_GoBack"/>
      <w:bookmarkEnd w:id="0"/>
      <w:r w:rsidRPr="00E03BDE">
        <w:rPr>
          <w:rFonts w:ascii="Times New Roman" w:hAnsi="Times New Roman" w:cs="Times New Roman"/>
          <w:b w:val="0"/>
          <w:sz w:val="28"/>
          <w:szCs w:val="28"/>
        </w:rPr>
        <w:t>міністр самопроголошеної Республіки</w:t>
      </w:r>
      <w:r>
        <w:rPr>
          <w:rFonts w:ascii="Times New Roman" w:hAnsi="Times New Roman" w:cs="Times New Roman"/>
          <w:b w:val="0"/>
          <w:sz w:val="28"/>
          <w:szCs w:val="28"/>
        </w:rPr>
        <w:t xml:space="preserve"> Крим С. Аксьонов, голова ново</w:t>
      </w:r>
      <w:r w:rsidRPr="00E03BDE">
        <w:rPr>
          <w:rFonts w:ascii="Times New Roman" w:hAnsi="Times New Roman" w:cs="Times New Roman"/>
          <w:b w:val="0"/>
          <w:sz w:val="28"/>
          <w:szCs w:val="28"/>
        </w:rPr>
        <w:t xml:space="preserve">створеної Державної Ради самопроголошеної Республіки Крим В. </w:t>
      </w:r>
      <w:proofErr w:type="spellStart"/>
      <w:r w:rsidRPr="00E03BDE">
        <w:rPr>
          <w:rFonts w:ascii="Times New Roman" w:hAnsi="Times New Roman" w:cs="Times New Roman"/>
          <w:b w:val="0"/>
          <w:sz w:val="28"/>
          <w:szCs w:val="28"/>
        </w:rPr>
        <w:t>Константинов</w:t>
      </w:r>
      <w:proofErr w:type="spellEnd"/>
      <w:r w:rsidRPr="00E03BDE">
        <w:rPr>
          <w:rFonts w:ascii="Times New Roman" w:hAnsi="Times New Roman" w:cs="Times New Roman"/>
          <w:b w:val="0"/>
          <w:sz w:val="28"/>
          <w:szCs w:val="28"/>
        </w:rPr>
        <w:t>, представник сепаратистського керівництва м. Севастополя</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 Чалий підписали так званий Договір про прийняття Криму до складу Росії.</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20 березня договір був ратифікований Державною Думою Російської Федерації (майже одноголосно), а 21 березня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Радою Федерації та одразу набув чинності. 11 квітня відповідні зміни було внесено до Конституції Росії.</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СІЛА та країни ЄС відмовилися визнавати результати референдуму, засудили дії Росії і запровадили санкції щодо російського бізнесу й високопосадовців, заморозивши їхні закордонні активи та наклавши візові обмеження. </w:t>
      </w:r>
    </w:p>
    <w:p w:rsidR="0095568F" w:rsidRPr="00E03BDE"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27 березня Генеральна Асамблея ООН ухвалила резолюцію про територіальну </w:t>
      </w:r>
      <w:r w:rsidRPr="00E03BDE">
        <w:rPr>
          <w:rFonts w:ascii="Times New Roman" w:hAnsi="Times New Roman" w:cs="Times New Roman"/>
          <w:b w:val="0"/>
          <w:sz w:val="28"/>
          <w:szCs w:val="28"/>
        </w:rPr>
        <w:lastRenderedPageBreak/>
        <w:t xml:space="preserve">цілісність України. За прийняття документа проголосували 100 держав, проти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11, утрималися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58.</w:t>
      </w:r>
    </w:p>
    <w:p w:rsidR="0095568F" w:rsidRDefault="0095568F" w:rsidP="0095568F">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 липня 2014 р. Парламентська Асамблея ОБСЄ визнала дії Росії «військовою агресією, неспровокованою і заснованою на абсолютно безпідставних припущеннях і приводах».</w:t>
      </w:r>
    </w:p>
    <w:p w:rsidR="0095568F" w:rsidRPr="00E03BDE" w:rsidRDefault="0095568F" w:rsidP="001745AD">
      <w:pPr>
        <w:spacing w:line="360" w:lineRule="auto"/>
        <w:ind w:firstLine="567"/>
        <w:jc w:val="both"/>
        <w:rPr>
          <w:rFonts w:ascii="Times New Roman" w:hAnsi="Times New Roman" w:cs="Times New Roman"/>
          <w:b w:val="0"/>
          <w:sz w:val="28"/>
          <w:szCs w:val="28"/>
        </w:rPr>
      </w:pPr>
    </w:p>
    <w:p w:rsidR="001B5A17" w:rsidRDefault="001B5A17" w:rsidP="00E03BDE">
      <w:pPr>
        <w:spacing w:line="360" w:lineRule="auto"/>
        <w:ind w:firstLine="567"/>
        <w:jc w:val="center"/>
        <w:rPr>
          <w:rFonts w:ascii="Times New Roman" w:hAnsi="Times New Roman" w:cs="Times New Roman"/>
          <w:sz w:val="28"/>
          <w:szCs w:val="28"/>
        </w:rPr>
      </w:pPr>
    </w:p>
    <w:sectPr w:rsidR="001B5A17" w:rsidSect="00E03BDE">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2CC495B"/>
    <w:multiLevelType w:val="multilevel"/>
    <w:tmpl w:val="D2BAB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7D75A61"/>
    <w:multiLevelType w:val="multilevel"/>
    <w:tmpl w:val="19843CCE"/>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471E01A6"/>
    <w:multiLevelType w:val="hybridMultilevel"/>
    <w:tmpl w:val="CD7217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2">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4">
    <w:nsid w:val="617227A6"/>
    <w:multiLevelType w:val="multilevel"/>
    <w:tmpl w:val="A286668A"/>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nsid w:val="637A169F"/>
    <w:multiLevelType w:val="multilevel"/>
    <w:tmpl w:val="00E0E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5954ECF"/>
    <w:multiLevelType w:val="multilevel"/>
    <w:tmpl w:val="309E66A2"/>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8"/>
  </w:num>
  <w:num w:numId="4">
    <w:abstractNumId w:val="3"/>
  </w:num>
  <w:num w:numId="5">
    <w:abstractNumId w:val="6"/>
  </w:num>
  <w:num w:numId="6">
    <w:abstractNumId w:val="7"/>
  </w:num>
  <w:num w:numId="7">
    <w:abstractNumId w:val="13"/>
  </w:num>
  <w:num w:numId="8">
    <w:abstractNumId w:val="15"/>
  </w:num>
  <w:num w:numId="9">
    <w:abstractNumId w:val="5"/>
  </w:num>
  <w:num w:numId="10">
    <w:abstractNumId w:val="2"/>
  </w:num>
  <w:num w:numId="11">
    <w:abstractNumId w:val="17"/>
  </w:num>
  <w:num w:numId="12">
    <w:abstractNumId w:val="11"/>
  </w:num>
  <w:num w:numId="13">
    <w:abstractNumId w:val="12"/>
  </w:num>
  <w:num w:numId="14">
    <w:abstractNumId w:val="9"/>
  </w:num>
  <w:num w:numId="15">
    <w:abstractNumId w:val="18"/>
  </w:num>
  <w:num w:numId="16">
    <w:abstractNumId w:val="14"/>
  </w:num>
  <w:num w:numId="17">
    <w:abstractNumId w:val="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745AD"/>
    <w:rsid w:val="001B5A17"/>
    <w:rsid w:val="001F5286"/>
    <w:rsid w:val="002218C3"/>
    <w:rsid w:val="0027647C"/>
    <w:rsid w:val="00284E59"/>
    <w:rsid w:val="002A5CE1"/>
    <w:rsid w:val="002E47B3"/>
    <w:rsid w:val="003302D9"/>
    <w:rsid w:val="00336F0C"/>
    <w:rsid w:val="003B2758"/>
    <w:rsid w:val="003D0880"/>
    <w:rsid w:val="00466519"/>
    <w:rsid w:val="004D1F6F"/>
    <w:rsid w:val="004E0A23"/>
    <w:rsid w:val="004F7154"/>
    <w:rsid w:val="0051109C"/>
    <w:rsid w:val="00595053"/>
    <w:rsid w:val="005A03B2"/>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5568F"/>
    <w:rsid w:val="00957677"/>
    <w:rsid w:val="009A329C"/>
    <w:rsid w:val="009D0C4F"/>
    <w:rsid w:val="009F6BD5"/>
    <w:rsid w:val="00A318D7"/>
    <w:rsid w:val="00AD10B1"/>
    <w:rsid w:val="00AE4E8A"/>
    <w:rsid w:val="00B1336B"/>
    <w:rsid w:val="00B1390D"/>
    <w:rsid w:val="00B4199B"/>
    <w:rsid w:val="00B9779E"/>
    <w:rsid w:val="00BA0161"/>
    <w:rsid w:val="00BC570B"/>
    <w:rsid w:val="00BE1E7F"/>
    <w:rsid w:val="00C300B7"/>
    <w:rsid w:val="00C43A81"/>
    <w:rsid w:val="00C91E34"/>
    <w:rsid w:val="00C9630A"/>
    <w:rsid w:val="00CA2E7E"/>
    <w:rsid w:val="00CE0CBE"/>
    <w:rsid w:val="00D3208B"/>
    <w:rsid w:val="00D4023D"/>
    <w:rsid w:val="00D50192"/>
    <w:rsid w:val="00D60BEA"/>
    <w:rsid w:val="00D61CB2"/>
    <w:rsid w:val="00D94E14"/>
    <w:rsid w:val="00DA75BD"/>
    <w:rsid w:val="00DB6005"/>
    <w:rsid w:val="00DC7889"/>
    <w:rsid w:val="00E02727"/>
    <w:rsid w:val="00E03BDE"/>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776A-FE44-4811-BD03-67D2C70C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12</Pages>
  <Words>15144</Words>
  <Characters>8633</Characters>
  <Application>Microsoft Office Word</Application>
  <DocSecurity>0</DocSecurity>
  <Lines>71</Lines>
  <Paragraphs>47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69</cp:revision>
  <dcterms:created xsi:type="dcterms:W3CDTF">2020-03-17T16:10:00Z</dcterms:created>
  <dcterms:modified xsi:type="dcterms:W3CDTF">2020-05-21T09:21:00Z</dcterms:modified>
</cp:coreProperties>
</file>