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DE" w:rsidRPr="00BA36DE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Практичне заняття 10.</w:t>
      </w:r>
      <w:r w:rsidRPr="00BA36D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Дослідження структур таблиць ББК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Бібліотечно-бібліографічна класифікація (ББК)</w:t>
      </w: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універсальна ієрархічна комбінаційна </w:t>
      </w:r>
      <w:hyperlink r:id="rId5" w:history="1">
        <w:r w:rsidRPr="00BA36D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класифікаційна система</w:t>
        </w:r>
      </w:hyperlink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, національна класифікація Росії. ББК була прийнята в СРСР для класифікації творів друку у відповідності з марксистсько-ленінською теорією класифікації наук.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кінці 20-х рр. ХХ ст. найбільші бібліотеки СРСР (Державна бібліотека СРСР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ім.В.І.Леніна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Державна публічна бібліотека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ім.М.Є.Салтикова-Щедріна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Бібліотека Академії наук СРСР) почали розроблення нової системи класифікації для своїх каталогів; роботи велися розрізнено. У 1930-ті рр. зріс інтерес бібліотечної громадськості до проблем бібліотечних класифікацій: вони обговорювалися на нарадах, конференціях, у фахових виданнях. Необхідно було створити спеціальну комісію, до складу якої, крім бібліотечних працівників мали увійти науковці. Однак, у той час не було необхідних умов для розроблення нової системи класифікації: по-перше, це відсутність достатньо розробленої класифікації наук; по-друге, брак відповідних кадрів, здатних вирішити це завдання. Тому роботи велися досить повільно. В кінці 1930-х рр. протягом кількох років під керівництвом Льва Наумовича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Троповського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(1885–1944) працював теоретичний семінар з питань класифікації. Лекції з історії класифікації зарубіжних систем читав професор Московського державного бібліотечного інституту Євген Іванович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Шамурін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(1889–1962). З 1946 р. він очолив об’єднаний колектив розробників (близько 150 осіб). Були підготовлені проекти (1949, 1951), проведено експеримент у кількох невеликих бібліотеках і у 1955 р. опубліковано перероблений і експериментально перевірений варіант системи. У той же час безпартійний З. Н.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Амбарцумян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виступив з низкою пропозицій (зокрема: про багаторазове відображення творів класиків марксизму-ленінізму, про виставлення творів К. Маркса, Ф. Енгельса, В. І. Леніна, документів партії на першому місці у кожному діленні каталогу та ін.), реалізація яких дозволила би перетворити систематичні каталоги у бібліотеках в апарат пропаганди. Ці пропозиції увійшли в затверджену обов’язкову інструкцію. Проти інструкції рішуче виступив член партії Є. І.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Шамурін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, за що був визнаний «буржуазним об’єктивістом» і суворо наказаний у партійному і адміністративному порядку. Колектив розробників ББК розформовано. Наприкінці 1950-х років Міністерство культури РСФСР вирішило об’єднати зусилля бібліотек з метою видання єдиної класифікаційної системи. Було створено комісію у складі представників великих універсальних і спеціальних бібліотек із залученням провідних спеціалістів із різних галузей знань. Розроблення класифікації очолила кандидат філософських наук, учениця Л. Н. 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Троповського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Є. І.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Шамуріна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Ольга Панкратіївна Тесленко (1911–1974). Знову скомплектований колектив у Державній бібліотеці імені В. І. Леніна</w:t>
      </w:r>
      <w:hyperlink r:id="rId6" w:anchor="_ftn1" w:history="1">
        <w:r w:rsidRPr="00BA36D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[1]</w:t>
        </w:r>
      </w:hyperlink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(більше 120 осіб) і в трьох інших організаціях-співавторах – Всесоюзної книжкової палати, Державної публічної бібліотеки</w:t>
      </w:r>
      <w:hyperlink r:id="rId7" w:anchor="_ftn2" w:history="1">
        <w:r w:rsidRPr="00BA36D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[2]</w:t>
        </w:r>
      </w:hyperlink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 Бібліотеки Академії Наук </w:t>
      </w:r>
      <w:hyperlink r:id="rId8" w:anchor="_ftn3" w:history="1">
        <w:r w:rsidRPr="00BA36D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[3]</w:t>
        </w:r>
      </w:hyperlink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(усього більше 200 осіб) почав активну роботу за єдиним планом. У 1960–1968 рр. вийшли найбільш повні таблиці для наукових бібліотек в 25 випусках, 30 книгах. У 1970–1972 рр. видано скорочені таблиці для наукових бібліотек у 5 випусках, 6 книгах. У 1975 р. було видано окремим томом зведений алфавітно-предметний </w:t>
      </w: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покажчик. У 1977 р. вийшло в світ перше видання таблиць ББК для масових бібліотек (2-ге вид. – 1988 р., Робочі таблиці – 1997 р.). З 1978 р. почався випуск таблиць для дитячих бібліотек (з другого видання 1986 р. – для дитячих і шкільних бібліотек). У 1998 р. – їх третє видання. У 1980–1983 рр. у 4-х томах опубліковано ББК для обласних бібліотек; у 1989 р. – для краєзнавчих каталогів і бібліотек. З 1960 - х рр. почався переклад ББК іншими мовами. Сьогодні повністю і фрагментарно таблиці перекладено більше ніж 20-ма мовами.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В Україні розробленням ББК займалася </w:t>
      </w:r>
      <w:hyperlink r:id="rId9" w:history="1">
        <w:r w:rsidRPr="00BA36D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Державна наукова бібліотека ім. В. Короленка</w:t>
        </w:r>
      </w:hyperlink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(Харків). Першою впроваджувати радянську систему ББК почала </w:t>
      </w:r>
      <w:hyperlink r:id="rId10" w:history="1">
        <w:r w:rsidRPr="00BA36D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Державна бібліотека України</w:t>
        </w:r>
      </w:hyperlink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з 1960 р. на основі проекту цієї системи. Широке впровадження ББК було розпочато після прийняття в 1966 р. постанови Колегії Міністерства культури СРСР «О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внедрении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первого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издания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Советской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библиотечно-библиографической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класссификации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». Впровадження розпочиналося з виходом друкованих таблиць ББК для бібліотек різних категорій: Державна бібліотека України і великі наукові бібліотеки – з 1960 р.; масові бібліотеки, дитячі та бібліотеки для юнацтва – з 1980 р.; обласні універсальні наукові бібліотеки – з 1986 р. Впровадження йшло повільно до 1978 р., до появи наказу Міністерства культури СРСР від 29.09.78 № 735 «О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внедрении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советской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библиотечно-библиографической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классификации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практику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массовых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детских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библиотек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та аналогічного наказу Міністерства культури УРСР від 02.11.78 № 965 «Про впровадження радянської бібліотечно-бібліографічної класифікації в практику роботи державних масових бібліотек республіки». У 1985 р. вийшло ще два накази: Міністерства культури СРСР від 28.10.85 № 404 «О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внедрении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библиотечно-библиографической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классификации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практику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работы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государственных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республиканских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(АССР),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краевых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областных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универсальных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библиотек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»; Міністерства культури УРСР від 04.12.85 № 1232 «Про впровадження бібліотечно-бібліографічної класифікації в практику роботи обласних універсальних наукових бібліотек». Низка наказів впровадила ББК в практику роботи українських бібліотек. Проте повні таблиці ББК за останні більше ніж 50 років не перевидавались і не будуть, а фонди Національної парламентської бібліотеки України і Національної бібліотеки України імені В. І. Вернадського систематизувались саме за ними, тому згадувані бібліотеки змушені були самі удосконалювати систему.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1981 р. групі розробників ББК (12 осіб, у т. ч. 8 – з Державної бібліотеки імені В. І. Леніна) присуджено Державну премію СРСР в галузі науки. Використовувалась у СРСР і деяких соціалістичних країнах. У 1990-х рр. в Росії і колишніх республіках СРСР ББК стала кваліфікуватись як ідеологічно шкідлива і змістовно застаріла класифікаційна система, яку потрібно кардинально переробляти. ББК будувалася на ідеологічних принципах, на головній позиції знаходився марксизм-ленінізм, який згодом перетворився на загальнонаукове і міждисциплінарне знання. У відповідності з угодою 2000 р. авторським правом на ББК володіють 3 бібліотеки: Російська державна бібліотека, Російська національна бібліотека, Бібліотека Російської академії наук. Координаційним федеральним міжвідомчим центром із ведення ББК є Науково-дослідний центр розвитку ББК, що функціонує в якості підрозділу </w:t>
      </w: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Російської державної бібліотеки. У відповідності із законодавством про авторське право будь-яке видання, що так або інакше належить до ББК, повинно бути узгоджено з Науково-дослідним центром розвитку ББК.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Варіанти таблиць ББК: універсальні, повні, середні, скорочені, галузеві. У 2000 р. співавторами ББК підписана угода, у відповідності з якою ББК переходить на нову типологію видань, а система таблиць містить 3 варіанти: повні (еталонні), середні і скорочені таблиці. Всі вони узгоджені між собою за структурою та індексацією і відрізняються тільки за глибиною деталізації.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Еталонний, базовий варіант таблиць ББК – повні таблиці ББК у 25 випусках, 30 книгах (1960–1968) з наступними доповненнями і виправленнями. Вирішено не публікувати їх більше у вигляді книжкового видання. Середні таблиці ББК у 10 випусках призначені для систематизації літератури в бібліотеках різних типів і видів: універсальних наукових, вищих навчальних закладів, галузевих і спеціалізованих. Середні таблиці заплановано випускати протягом ряду років окремими, послідовно нумерованими випусками. Скорочені таблиці ББК в одному томі замінять варіант для масових бібліотек («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Рабочие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таблицы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ББК для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массовых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библиотек</w:t>
      </w:r>
      <w:proofErr w:type="spellEnd"/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»,1997). Скорочене видання має виходити у світ з інтервалом у 8–10 років.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 таблиць ББК: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-         Основні таблиці;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-         Таблиці спеціальних типових ділень;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-         Таблиці загальних типових ділень;</w:t>
      </w:r>
    </w:p>
    <w:p w:rsidR="00BA36DE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-         Абетково-предметний покажчик.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Структура Основних таблиць ББК.</w:t>
      </w:r>
    </w:p>
    <w:p w:rsidR="00BA36DE" w:rsidRPr="00000FF1" w:rsidRDefault="00BA36DE" w:rsidP="00BA36DE">
      <w:pPr>
        <w:spacing w:before="45" w:after="45" w:line="240" w:lineRule="auto"/>
        <w:ind w:firstLine="60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Табл.1 Структура основного ряду ББК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816"/>
        <w:gridCol w:w="712"/>
        <w:gridCol w:w="4623"/>
        <w:gridCol w:w="927"/>
        <w:gridCol w:w="1891"/>
      </w:tblGrid>
      <w:tr w:rsidR="00BA36DE" w:rsidRPr="00000FF1" w:rsidTr="00485E7E">
        <w:trPr>
          <w:tblCellSpacing w:w="0" w:type="dxa"/>
        </w:trPr>
        <w:tc>
          <w:tcPr>
            <w:tcW w:w="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A36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Науки про природу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Загальнонаукове і міждисциплінарне знання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</w:p>
        </w:tc>
        <w:tc>
          <w:tcPr>
            <w:tcW w:w="9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A36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Природничі науки</w:t>
            </w: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Природничі науки в цілому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Фізико-математичні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Хімічні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Науки про Землю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Біологічні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</w:p>
        </w:tc>
        <w:tc>
          <w:tcPr>
            <w:tcW w:w="9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A36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Прикладні науки</w:t>
            </w: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Техніка. Технічні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Ж/О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Сільське і лісове господарство. Сільськогосподарські і лісогосподарські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Охорона здоров’я. Медичні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A36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Науки про суспільство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6/8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Суспільні й гуманітарні науки в цілому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</w:p>
        </w:tc>
        <w:tc>
          <w:tcPr>
            <w:tcW w:w="9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A36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Суспільно-політичні науки</w:t>
            </w: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Історія. Історичні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Економіка. Економічні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Політика. Політичні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Держава і право. Юридичні науки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Військова наука. Військова справа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Культура. Наука. Освіта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</w:t>
            </w:r>
          </w:p>
        </w:tc>
        <w:tc>
          <w:tcPr>
            <w:tcW w:w="9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A36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Гуманітарні науки</w:t>
            </w: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Філологічні науки. Художня література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Мистецтво. Мистецтвознавство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A36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Науки про мислення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Релігія. Атеїзм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Э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Філософські науки. Психологія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Ю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A36DE" w:rsidRPr="00000FF1" w:rsidTr="00485E7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Література універсального змісту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FF1" w:rsidRPr="00000FF1" w:rsidRDefault="00BA36DE" w:rsidP="00BA36DE">
            <w:pPr>
              <w:spacing w:before="45" w:after="4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0F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center"/>
            <w:hideMark/>
          </w:tcPr>
          <w:p w:rsidR="00BA36DE" w:rsidRPr="00000FF1" w:rsidRDefault="00BA36DE" w:rsidP="00BA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ряд основних таблиць – сім відділів, поділено на підвідділи, що складають другий ряд ділень. Підвідділи в результаті наступної деталізації утворюють третій ряд ділень і так далі. Всі ділення мають умовні позначення, які називаються </w:t>
      </w:r>
      <w:hyperlink r:id="rId11" w:history="1">
        <w:r w:rsidRPr="00BA36D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класифікаційними індексами</w:t>
        </w:r>
      </w:hyperlink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. У багатьох рубриках є посилання й відсилання. Їхнє призначення різниться. Посилання, позначені словами «див. також» пов’язують родинні за змістом галузі знання. Відсилання – позначені словом «див.» – упереджують від неправильного рішення, а крім того, підказують, до якого саме розділу потрібно віднести книгу.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lastRenderedPageBreak/>
        <w:t>Структура Таблиць спеціальних типових ділень.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Всередині Основних ділень класифікації існують спеціальні типові ділення. Вони дозволяють деталізувати матеріал за ознаками, що притаманні окремим наукам і галузям практичної діяльності і приєднуються до індексу основних таблиць через дефіс (Сільськогосподарські науки: -2 Біологія виду або групи сільськогосподарських тварин; -3 Розведення і племінна справа; -4 Годування і утримання).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Структура Таблиць загальних типових ділень.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типові ділення можуть використовуватися в усіх діленнях класифікації, оскільки формують комплекси видання за ознаками, які характерні для усіх або багатьох галузей знання. Поділяються на три види: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-   тематичні – відбивають типові ознаки змісту документів і призначені для більш глибокого розкриття саме змісту («с – Методика і техніка наукових досліджень і спостережень»;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-  формальні – дозволяють групувати матеріал за ознаками форми і призначення документів. («я5 Журнали», «я72 Підручники і навчальні посібники для середньої школи»);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-  територіальні – дають змогу комплексувати матеріали за географічною ознакою, вони можуть застосовуватися в будь-якому діленні класифікації. Позначаються цифрами і великими буквами. взятими у дужки – (4УКР), (5КАЗ).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Тематичні і формальні загальні типові ділення дозволяють утворювати спеціальні рубрики для різних видів творів друку: словників, довідників, підручників та ін.; виокремити особливо важливі поняття, типові для різних галузей знань: філософські питання науки, її методологію, управління, організацію і охорону праці, техніку безпеки праці, історію науки та інше. Індекси загальних типових ділень позначаються малими літерами російського алфавіту: в, г, к, л, и, с, у, р, ц, я.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Територіальні типові ділення призначені для утворення рубрик, що позначають місцевість (територію, регіон) у відділах історії, географії та деяких інших.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Алфавітно-предметний покажчик.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В Алфавітно-предметному покажчику назви предметів і понять розташовані за алфавітом, а поруч зазначено класифікаційний індекс, під яким їх можна знайти в Таблицях. Покажчик полегшує і прискорює пошук потрібного класифікаційного ділення і показує як один і той же предмет представлено в різних галузях знань у залежності від того, з якої точки зору він розглядається.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початок ХХІ ст. поетапно вийшли такі випуски середніх таблиць ББК: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– випуск 1 «60/63 Соціальні науки в цілому. Суспільствознавство. Історія. Історичні науки»;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– випуск 2 «65/68 Економіка. Економічні науки. Політика. Політологія. Право. Юридичні науки. Військова справа. Військова наука»;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– випуск 3 «4/5 Сільське та лісове господарство. Сільськогосподарські та лісогосподарські науки. Охорона здоров’я. Медичні науки»;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– додатковий випуск «Таблиці типових ділень загального застосування»;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– випуск 4 «7 Культура. Наука. Просвіта»;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– випуск 5 «80/84 Філологічні науки. Художня література. 85 Мистецтво. Мистецтвознавство. 86 Релігія. 87 Філософія. 88 Психологія»;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–       випуск 6 «3 Техніка. Технічні науки»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Розділи, представлені в даних випусках, перероблено відповідно до корінних змін у житті суспільства, його ідеології, політики, економіки, правових засад, розвитку науки, освіти, культури.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У 2008 р. Науково-дослідним центром розвитку ББК та Російською державною бібліотекою для дітей було випущено 4-те видання таблиць з урахуванням змін, внесених відповідно до опублікованих на той час чотирьох випусків Середніх таблиць ББК.</w:t>
      </w:r>
    </w:p>
    <w:p w:rsidR="00BA36DE" w:rsidRPr="00000FF1" w:rsidRDefault="00BA36DE" w:rsidP="00BA36DE">
      <w:pPr>
        <w:spacing w:before="45" w:after="45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0FF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BA36DE" w:rsidRPr="00BA36DE" w:rsidRDefault="00BA36DE" w:rsidP="00BA36DE">
      <w:pPr>
        <w:spacing w:before="45" w:after="45" w:line="240" w:lineRule="auto"/>
        <w:ind w:firstLine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6DE">
        <w:rPr>
          <w:rFonts w:ascii="Times New Roman" w:hAnsi="Times New Roman" w:cs="Times New Roman"/>
          <w:b/>
          <w:sz w:val="28"/>
          <w:szCs w:val="28"/>
        </w:rPr>
        <w:t>Дослідити і знати :</w:t>
      </w:r>
    </w:p>
    <w:p w:rsidR="00BA36DE" w:rsidRDefault="00BA36DE" w:rsidP="00BA36DE">
      <w:pPr>
        <w:pStyle w:val="a3"/>
        <w:numPr>
          <w:ilvl w:val="0"/>
          <w:numId w:val="1"/>
        </w:numPr>
        <w:spacing w:before="45" w:after="4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36D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таблиць ББК;</w:t>
      </w:r>
    </w:p>
    <w:p w:rsidR="00BA36DE" w:rsidRPr="00BA36DE" w:rsidRDefault="00BA36DE" w:rsidP="00BA36DE">
      <w:pPr>
        <w:pStyle w:val="a3"/>
        <w:numPr>
          <w:ilvl w:val="0"/>
          <w:numId w:val="1"/>
        </w:numPr>
        <w:spacing w:before="45" w:after="4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структуру</w:t>
      </w:r>
      <w:r w:rsidRPr="00BA36D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основного ряду ББК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5A5C1F" w:rsidRPr="00BA36DE" w:rsidRDefault="005A5C1F">
      <w:pPr>
        <w:rPr>
          <w:rFonts w:ascii="Times New Roman" w:hAnsi="Times New Roman" w:cs="Times New Roman"/>
          <w:sz w:val="28"/>
          <w:szCs w:val="28"/>
        </w:rPr>
      </w:pPr>
    </w:p>
    <w:sectPr w:rsidR="005A5C1F" w:rsidRPr="00BA36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14512"/>
    <w:multiLevelType w:val="hybridMultilevel"/>
    <w:tmpl w:val="C922D2F8"/>
    <w:lvl w:ilvl="0" w:tplc="84F63620">
      <w:start w:val="1"/>
      <w:numFmt w:val="decimal"/>
      <w:lvlText w:val="%1)"/>
      <w:lvlJc w:val="left"/>
      <w:pPr>
        <w:ind w:left="96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C1F"/>
    <w:rsid w:val="005A5C1F"/>
    <w:rsid w:val="00BA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6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O%D0%B1%D0%BC%D0%B5%D0%BD%D0%BD%D0%B8%D0%BA\%D0%9B%D1%8E%D0%B1%D0%B0%D1%80%D0%B5%D0%BD%D0%BA%D0%BE\%D0%95%D0%9D%D0%A6%D0%98%D0%9A%D0%9B%D0%9E%D0%9F%D0%95%D0%94%D0%98%D0%98\%D0%94%D0%BB%D1%8F%20%D0%B2%D1%81%D1%82%D0%B0%D0%B2%D0%BA%D0%B8_%D0%97%D0%B1%D0%B0%D0%BD%D0%B0%D1%86%D1%8C%D0%BA%D0%B0%2011-09-14\%D0%91%D1%96%D0%B1%D0%BB%D1%96%D0%BE%D1%82%D0%B5%D1%87%D0%BD%D0%BE-1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\O%D0%B1%D0%BC%D0%B5%D0%BD%D0%BD%D0%B8%D0%BA\%D0%9B%D1%8E%D0%B1%D0%B0%D1%80%D0%B5%D0%BD%D0%BA%D0%BE\%D0%95%D0%9D%D0%A6%D0%98%D0%9A%D0%9B%D0%9E%D0%9F%D0%95%D0%94%D0%98%D0%98\%D0%94%D0%BB%D1%8F%20%D0%B2%D1%81%D1%82%D0%B0%D0%B2%D0%BA%D0%B8_%D0%97%D0%B1%D0%B0%D0%BD%D0%B0%D1%86%D1%8C%D0%BA%D0%B0%2011-09-14\%D0%91%D1%96%D0%B1%D0%BB%D1%96%D0%BE%D1%82%D0%B5%D1%87%D0%BD%D0%BE-1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O%D0%B1%D0%BC%D0%B5%D0%BD%D0%BD%D0%B8%D0%BA\%D0%9B%D1%8E%D0%B1%D0%B0%D1%80%D0%B5%D0%BD%D0%BA%D0%BE\%D0%95%D0%9D%D0%A6%D0%98%D0%9A%D0%9B%D0%9E%D0%9F%D0%95%D0%94%D0%98%D0%98\%D0%94%D0%BB%D1%8F%20%D0%B2%D1%81%D1%82%D0%B0%D0%B2%D0%BA%D0%B8_%D0%97%D0%B1%D0%B0%D0%BD%D0%B0%D1%86%D1%8C%D0%BA%D0%B0%2011-09-14\%D0%91%D1%96%D0%B1%D0%BB%D1%96%D0%BE%D1%82%D0%B5%D1%87%D0%BD%D0%BE-1.doc" TargetMode="External"/><Relationship Id="rId11" Type="http://schemas.openxmlformats.org/officeDocument/2006/relationships/hyperlink" Target="http://ube.nlu.org.ua/article/%D0%9A%D0%BB%D0%B0%D1%81%D0%B8%D1%84%D1%96%D0%BA%D0%B0%D1%86%D1%96%D0%B9%D0%BD%D0%B8%D0%B9%20%D1%96%D0%BD%D0%B4%D0%B5%D0%BA%D1%81" TargetMode="External"/><Relationship Id="rId5" Type="http://schemas.openxmlformats.org/officeDocument/2006/relationships/hyperlink" Target="http://ube.nlu.org.ua/article/%D0%9A%D0%BB%D0%B0%D1%81%D0%B8%D1%84%D1%96%D0%BA%D0%B0%D1%86%D1%96%D0%B9%D0%BD%D0%B0%20%D1%81%D0%B8%D1%81%D1%82%D0%B5%D0%BC%D0%B0" TargetMode="External"/><Relationship Id="rId10" Type="http://schemas.openxmlformats.org/officeDocument/2006/relationships/hyperlink" Target="http://ube.nlu.org.ua/article/%D0%9D%D0%B0%D1%86%D1%96%D0%BE%D0%BD%D0%B0%D0%BB%D1%8C%D0%BD%D0%B0%20%D0%BF%D0%B0%D1%80%D0%BB%D0%B0%D0%BC%D0%B5%D0%BD%D1%82%D1%81%D1%8C%D0%BA%D0%B0%20%D0%B1%D1%96%D0%B1%D0%BB%D1%96%D0%BE%D1%82%D0%B5%D0%BA%D0%B0%20%D0%A3%D0%BA%D1%80%D0%B0%D1%97%D0%BD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be.nlu.org.ua/article/%D0%A5%D0%B0%D1%80%D0%BA%D1%96%D0%B2%D1%81%D1%8C%D0%BA%D0%B0%20%D0%B4%D0%B5%D1%80%D0%B6%D0%B0%D0%B2%D0%BD%D0%B0%20%D0%BD%D0%B0%D1%83%D0%BA%D0%BE%D0%B2%D0%B0%20%D0%B1%D1%96%D0%B1%D0%BB%D1%96%D0%BE%D1%82%D0%B5%D0%BA%D0%B0%20%D1%96%D0%BC.%20%D0%92.%D0%93.%20%D0%9A%D0%BE%D1%80%D0%BE%D0%BB%D0%B5%D0%BD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9753</Words>
  <Characters>5560</Characters>
  <Application>Microsoft Office Word</Application>
  <DocSecurity>0</DocSecurity>
  <Lines>46</Lines>
  <Paragraphs>30</Paragraphs>
  <ScaleCrop>false</ScaleCrop>
  <Company/>
  <LinksUpToDate>false</LinksUpToDate>
  <CharactersWithSpaces>15283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2020-05-03T15:13:00Z</dcterms:created>
  <dcterms:modified xsi:type="dcterms:W3CDTF">2020-05-03T15:26:00Z</dcterms:modified>
</cp:coreProperties>
</file>