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CCA" w:rsidRDefault="00D94CCA" w:rsidP="00D94CCA">
      <w:pPr>
        <w:spacing w:after="0" w:line="160" w:lineRule="atLeast"/>
        <w:ind w:firstLine="709"/>
        <w:jc w:val="both"/>
        <w:rPr>
          <w:rFonts w:ascii="Times New Roman" w:hAnsi="Times New Roman" w:cs="Times New Roman"/>
          <w:b/>
          <w:sz w:val="24"/>
          <w:szCs w:val="24"/>
          <w:lang w:val="uk-UA"/>
        </w:rPr>
      </w:pPr>
      <w:r>
        <w:rPr>
          <w:rFonts w:ascii="Times New Roman" w:hAnsi="Times New Roman" w:cs="Times New Roman"/>
          <w:b/>
          <w:sz w:val="24"/>
          <w:szCs w:val="24"/>
          <w:lang w:val="uk-UA"/>
        </w:rPr>
        <w:t>Тема 6: Громада. Громадська участь у житті суспільства.</w:t>
      </w:r>
    </w:p>
    <w:p w:rsidR="00D94CCA" w:rsidRDefault="00D94CCA" w:rsidP="00D94CCA">
      <w:pPr>
        <w:spacing w:after="0" w:line="160" w:lineRule="atLeast"/>
        <w:ind w:firstLine="709"/>
        <w:jc w:val="center"/>
        <w:rPr>
          <w:rFonts w:ascii="Times New Roman" w:hAnsi="Times New Roman" w:cs="Times New Roman"/>
          <w:b/>
          <w:sz w:val="24"/>
          <w:szCs w:val="24"/>
          <w:lang w:val="uk-UA"/>
        </w:rPr>
      </w:pPr>
      <w:r>
        <w:rPr>
          <w:rFonts w:ascii="Times New Roman" w:hAnsi="Times New Roman" w:cs="Times New Roman"/>
          <w:b/>
          <w:sz w:val="24"/>
          <w:szCs w:val="24"/>
          <w:lang w:val="uk-UA"/>
        </w:rPr>
        <w:t>План</w:t>
      </w:r>
    </w:p>
    <w:p w:rsidR="00D94CCA" w:rsidRDefault="00D94CCA" w:rsidP="00D94CCA">
      <w:pPr>
        <w:spacing w:after="0" w:line="160" w:lineRule="atLeast"/>
        <w:ind w:firstLine="709"/>
        <w:jc w:val="center"/>
        <w:rPr>
          <w:rFonts w:ascii="Times New Roman" w:hAnsi="Times New Roman" w:cs="Times New Roman"/>
          <w:sz w:val="24"/>
          <w:szCs w:val="24"/>
          <w:lang w:val="uk-UA"/>
        </w:rPr>
      </w:pPr>
      <w:r>
        <w:rPr>
          <w:rFonts w:ascii="Times New Roman" w:hAnsi="Times New Roman" w:cs="Times New Roman"/>
          <w:sz w:val="24"/>
          <w:szCs w:val="24"/>
          <w:lang w:val="uk-UA"/>
        </w:rPr>
        <w:t>1.Громада</w:t>
      </w:r>
    </w:p>
    <w:p w:rsidR="00D94CCA" w:rsidRDefault="00D94CCA" w:rsidP="00D94CCA">
      <w:pPr>
        <w:spacing w:after="0" w:line="160" w:lineRule="atLeast"/>
        <w:ind w:firstLine="709"/>
        <w:jc w:val="center"/>
        <w:rPr>
          <w:rFonts w:ascii="Times New Roman" w:hAnsi="Times New Roman" w:cs="Times New Roman"/>
          <w:sz w:val="24"/>
          <w:szCs w:val="24"/>
          <w:lang w:val="uk-UA"/>
        </w:rPr>
      </w:pPr>
      <w:r>
        <w:rPr>
          <w:rFonts w:ascii="Times New Roman" w:hAnsi="Times New Roman" w:cs="Times New Roman"/>
          <w:sz w:val="24"/>
          <w:szCs w:val="24"/>
          <w:lang w:val="uk-UA"/>
        </w:rPr>
        <w:t>2.Громадянська участь у житті суспільства</w:t>
      </w:r>
    </w:p>
    <w:p w:rsidR="00D94CCA" w:rsidRPr="00D23B18" w:rsidRDefault="00D94CCA" w:rsidP="00D94CCA">
      <w:pPr>
        <w:pStyle w:val="a3"/>
        <w:shd w:val="clear" w:color="auto" w:fill="FFFFFF"/>
        <w:spacing w:before="0" w:beforeAutospacing="0" w:after="0" w:afterAutospacing="0" w:line="160" w:lineRule="atLeast"/>
        <w:ind w:firstLine="709"/>
        <w:jc w:val="both"/>
        <w:rPr>
          <w:lang w:val="uk-UA"/>
        </w:rPr>
      </w:pPr>
      <w:r w:rsidRPr="00D23B18">
        <w:rPr>
          <w:rStyle w:val="a4"/>
          <w:shd w:val="clear" w:color="auto" w:fill="FFFFFF"/>
          <w:lang w:val="uk-UA"/>
        </w:rPr>
        <w:t>Громада</w:t>
      </w:r>
      <w:r w:rsidRPr="00D23B18">
        <w:rPr>
          <w:shd w:val="clear" w:color="auto" w:fill="FFFFFF"/>
        </w:rPr>
        <w:t> </w:t>
      </w:r>
      <w:r w:rsidRPr="00D23B18">
        <w:rPr>
          <w:shd w:val="clear" w:color="auto" w:fill="FFFFFF"/>
          <w:lang w:val="uk-UA"/>
        </w:rPr>
        <w:t>— це об’єднання людей, які проживають в одній географічній місцевості, мають спільні інтереси та завдання. громада скріплена взаємозв’язками й має власну структуру, що забезпечує її стабільність, стійкість і розвиток. Громаду характеризують також соціальні дії, соціальні відносини, соціальні цінності та норми.</w:t>
      </w:r>
      <w:r w:rsidRPr="00D23B18">
        <w:rPr>
          <w:lang w:val="uk-UA"/>
        </w:rPr>
        <w:t xml:space="preserve"> Територіальна громада є добровільним об’єднанням, до якого належать усі мешканці, незалежно від віку чи інших ознак. Членом територіальної громади людина стає за народженням у відповідному населеному пункті або в разі прибуття до нього на проживання. При цьому не може бути жодних обмежень за ознаками громадянства, національності, соціального стану тощо. Водночас брати участь у вирішенні справ громади в повному обсязі можуть лише громадяни України, які досягли 18 років. Саме вони набувають права обирати представницькі органи місцевого самоврядування (відповідні ради) і сільського, селищного або міського голову, мають право голосу на місцевих референдумах і на зборах громадян за місцем проживання. Місцеве самоврядування є одним з головних елементів розвитку демократії. Воно має форму реалізації публічної влади, відмінну від державної, і втілює місцеві інтереси територіальних громад.</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lang w:val="uk-UA"/>
        </w:rPr>
        <w:t>Місцеве самоврядування відрізняється від інших форм здійснення публічної влади своїми інститутами, формами діяльності, повноваженнями, правовим захистом і відповідальністю. Найважливіше джерело права про місцеве самоврядування для країн Європи — Європейська хартія місцевого самоврядування, ухвалена Радою Європи в 1985 р. Цей міжнародний документ запроваджує міжнародні стандарти для регулювання та гарантування прав органів місцевої влади, утверджує єдині принципи місцевого самоврядування. Вступивши до Ради Європи в листопаді 1995 р., Україна визнала положення Хартії як міжнародно-правовий стандарт розвитку місцевого самоврядування на своїй території.</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rStyle w:val="a4"/>
          <w:lang w:val="uk-UA"/>
        </w:rPr>
        <w:t>Характерні риси місцевого самоврядування такі:</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lang w:val="uk-UA"/>
        </w:rPr>
        <w:t>місцеве самоврядування діє в порядку і межах, встановлених законодавством України;</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lang w:val="uk-UA"/>
        </w:rPr>
        <w:t>для здійснення своїх завдань самоврядні органи мають самостійні джерела фінансування;</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lang w:val="uk-UA"/>
        </w:rPr>
        <w:t>самоврядні органи формуються на виборній основі;</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lang w:val="uk-UA"/>
        </w:rPr>
        <w:t>акти, ухвалені місцевим самоврядуванням, обов’язкові для виконання всіма установами, підприємствами, організаціями та громадянами, розташованими на його території;</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lang w:val="uk-UA"/>
        </w:rPr>
        <w:t>населення має право брати участь у здійсненні місцевого самоврядування в будь-яких формах, що не суперечать Конституції та законодавству України.</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lang w:val="uk-UA"/>
        </w:rPr>
        <w:t>Місцеве самоврядування має свою фінансово-економічну основу, його функціонування носить соціально-економічний характер.</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lang w:val="uk-UA"/>
        </w:rPr>
        <w:t>Місцеве самоврядування є одним із ключових компонентів взаємовідносин між громадянином, суспільством та державою.</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lang w:val="uk-UA"/>
        </w:rPr>
        <w:t>Місцеве самоврядування в Україні здійснюється на принципах: народовладдя; законності; гласності; колегіальності; поєднання місцевих і державних інтересів; виборності; правової; організаційної та матеріально-фінансової самостійності в межах визначених повноважень; підзвітності та відповідальності перед територіальними громадами їх органів та посадових осіб; державної підтримки та гарантії місцевого самоврядування; судового захисту прав місцевого самоврядування.</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lang w:val="uk-UA"/>
        </w:rPr>
        <w:t>Перевагами місцевого самоврядування є знання першочергових проблем, що потребують вирішення, розпорядження спільним бюджетом.</w:t>
      </w:r>
    </w:p>
    <w:p w:rsidR="00D94CCA" w:rsidRPr="00D23B18" w:rsidRDefault="00D94CCA" w:rsidP="00D94CCA">
      <w:pPr>
        <w:pStyle w:val="a3"/>
        <w:shd w:val="clear" w:color="auto" w:fill="FFFFFF"/>
        <w:spacing w:before="0" w:beforeAutospacing="0" w:after="0" w:afterAutospacing="0" w:line="160" w:lineRule="atLeast"/>
        <w:ind w:firstLine="709"/>
        <w:jc w:val="both"/>
        <w:rPr>
          <w:lang w:val="uk-UA"/>
        </w:rPr>
      </w:pPr>
      <w:r w:rsidRPr="00D23B18">
        <w:rPr>
          <w:lang w:val="uk-UA"/>
        </w:rPr>
        <w:lastRenderedPageBreak/>
        <w:t>Завдяки громаді людина входить у життя суспільства й виконує в ньому певні соціальні ролі та функції, забезпечує реалізацію своїх інтересів. Людина може належати до декількох громад. У громаді людина формує систему цінностей і ставлень до питань соціального життя, вчиться їх вирішувати разом з іншими членами громади. Саме у громаді людина формує громадську ідентичність і почуття відповідальності за спільну справу. Громада розв’язує конкретні проблеми, такі як транспортні, екологічні, проблеми дозвілля, освіти тощо. Вона забезпечує здійснення демократії на місцевому рівні. Лише коли людина може організувати співжиття у своєму будинку, на своїй вулиці, у своєму районі, селі чи місті на принципах рівності, свободи, участі, відповідальності та інших, може йти мова про демократизацію всього суспільства.</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rStyle w:val="a4"/>
          <w:lang w:val="uk-UA"/>
        </w:rPr>
        <w:t>Яскрава особистість</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noProof/>
        </w:rPr>
        <w:drawing>
          <wp:inline distT="0" distB="0" distL="0" distR="0" wp14:anchorId="6C254E77" wp14:editId="6E401FAB">
            <wp:extent cx="787400" cy="1153160"/>
            <wp:effectExtent l="0" t="0" r="0" b="8890"/>
            <wp:docPr id="16" name="Рисунок 16" descr="https://history.vn.ua/pidruchniki/bakka-civil-education-10-class-2018/bakka-civil-education-10-class-2018.files/image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history.vn.ua/pidruchniki/bakka-civil-education-10-class-2018/bakka-civil-education-10-class-2018.files/image06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7400" cy="1153160"/>
                    </a:xfrm>
                    <a:prstGeom prst="rect">
                      <a:avLst/>
                    </a:prstGeom>
                    <a:noFill/>
                    <a:ln>
                      <a:noFill/>
                    </a:ln>
                  </pic:spPr>
                </pic:pic>
              </a:graphicData>
            </a:graphic>
          </wp:inline>
        </w:drawing>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rStyle w:val="a4"/>
          <w:lang w:val="uk-UA"/>
        </w:rPr>
        <w:t>Алексіс де ТОКВІЛЬ</w:t>
      </w:r>
      <w:r w:rsidRPr="00D23B18">
        <w:rPr>
          <w:lang w:val="uk-UA"/>
        </w:rPr>
        <w:t> (1805—1859) — французький державний діяч, історик і політолог ХІХ ст. Один з перших учених, хто привернув увагу до проблем місцевого самоврядування. У своєму творі «Демократія в Америці» він наголошував: «Саме у громаді полягає сила свободи народу. Громадські інститути для встановлення незалежності відіграють ту саму роль, що й початкові школи для науки: вони відкривають народові шлях до свободи й участі його в користуванні цією свободою, у насолодженні її мирним характером. Без громадських інститутів нація може сформувати вільний простір, одначе справжнього духу свободи вона так і не набуде».</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lang w:val="uk-UA"/>
        </w:rPr>
        <w:t>Обговоріть, як ви розумієте ці слова. Яку основну ідею висловив автор?</w:t>
      </w:r>
    </w:p>
    <w:p w:rsidR="00D94CCA" w:rsidRPr="00D23B18" w:rsidRDefault="00D94CCA" w:rsidP="00D94CCA">
      <w:pPr>
        <w:pStyle w:val="a3"/>
        <w:shd w:val="clear" w:color="auto" w:fill="FFFFFF"/>
        <w:spacing w:before="0" w:beforeAutospacing="0" w:after="0" w:afterAutospacing="0" w:line="160" w:lineRule="atLeast"/>
        <w:ind w:firstLine="709"/>
        <w:jc w:val="both"/>
        <w:rPr>
          <w:lang w:val="uk-UA"/>
        </w:rPr>
      </w:pPr>
      <w:r w:rsidRPr="00D23B18">
        <w:rPr>
          <w:lang w:val="uk-UA"/>
        </w:rPr>
        <w:t>Громада з її органами самоврядування, діяльністю громадських організацій сприяє поширенню демократичних практик, необхідних для прискорення сталого людського розвитку, посилення громадянського суспільства. Активна діяльність громад сприяє відкритості роботи органів влади, підвищенню прозорості й відповідальності на всіх рівнях урядування та залученню громадян до процесів розробки політики та прийняття рішень.</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rStyle w:val="a4"/>
          <w:lang w:val="uk-UA"/>
        </w:rPr>
        <w:t>Територіальна громада</w:t>
      </w:r>
      <w:r w:rsidRPr="00D23B18">
        <w:rPr>
          <w:lang w:val="uk-UA"/>
        </w:rPr>
        <w:t> — це жителі села чи добровільного об’єднання у сільську громаду жителів кількох сіл, селища чи міста.</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lang w:val="uk-UA"/>
        </w:rPr>
        <w:t>Формами безпосереднього волевиявлення територіальних колективів громад є:</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rStyle w:val="a4"/>
          <w:lang w:val="uk-UA"/>
        </w:rPr>
        <w:t>місцеві референдуми</w:t>
      </w:r>
      <w:r w:rsidRPr="00D23B18">
        <w:rPr>
          <w:lang w:val="uk-UA"/>
        </w:rPr>
        <w:t>, які можуть вирішувати будь-які питання, що належать до місцевого самоврядування;</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rStyle w:val="a4"/>
          <w:lang w:val="uk-UA"/>
        </w:rPr>
        <w:t>вибори</w:t>
      </w:r>
      <w:r w:rsidRPr="00D23B18">
        <w:rPr>
          <w:lang w:val="uk-UA"/>
        </w:rPr>
        <w:t>, через які обирають місцеві ради та їх голів;</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rStyle w:val="a4"/>
          <w:lang w:val="uk-UA"/>
        </w:rPr>
        <w:t>загальні збори громадян</w:t>
      </w:r>
      <w:r w:rsidRPr="00D23B18">
        <w:rPr>
          <w:lang w:val="uk-UA"/>
        </w:rPr>
        <w:t> за місцем їхнього проживання, які можуть обговорювати будь-які питання, що належать до відання місцевого самоврядування:</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lang w:val="uk-UA"/>
        </w:rPr>
        <w:t>— створення будинкових, вуличних, квартальних тощо комітетів,</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lang w:val="uk-UA"/>
        </w:rPr>
        <w:t>— попереднє обговорення проектів рішень місцевих рад та їхніх виконкомів,</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lang w:val="uk-UA"/>
        </w:rPr>
        <w:t>— заслуховування звітів та інформацій місцевого голови керівників підприємств, установ і організацій, що належать до комунальної власності місцевої громади, тощо;</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rStyle w:val="a4"/>
          <w:lang w:val="uk-UA"/>
        </w:rPr>
        <w:t>місцеві ініціативи</w:t>
      </w:r>
      <w:r w:rsidRPr="00D23B18">
        <w:rPr>
          <w:lang w:val="uk-UA"/>
        </w:rPr>
        <w:t> як засіб ініціювання розгляду органом місцевого самоврядування конкретних питань, віднесених до його відання;</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rStyle w:val="a4"/>
          <w:lang w:val="uk-UA"/>
        </w:rPr>
        <w:t>громадські</w:t>
      </w:r>
      <w:r w:rsidRPr="00D23B18">
        <w:rPr>
          <w:lang w:val="uk-UA"/>
        </w:rPr>
        <w:t> слухання, які являють собою заслуховування окремими колективами територіальних громад посадових осіб органів місцевого самоврядування з питань, що належать до їхньої компетенції.</w:t>
      </w:r>
    </w:p>
    <w:p w:rsidR="00D94CCA" w:rsidRDefault="00D94CCA" w:rsidP="00D94CCA">
      <w:pPr>
        <w:pStyle w:val="1"/>
        <w:shd w:val="clear" w:color="auto" w:fill="FFFFFF"/>
        <w:spacing w:before="0" w:beforeAutospacing="0" w:after="0" w:afterAutospacing="0" w:line="160" w:lineRule="atLeast"/>
        <w:ind w:firstLine="709"/>
        <w:jc w:val="both"/>
        <w:rPr>
          <w:sz w:val="24"/>
          <w:szCs w:val="24"/>
          <w:lang w:val="uk-UA"/>
        </w:rPr>
      </w:pPr>
    </w:p>
    <w:p w:rsidR="00D94CCA" w:rsidRDefault="00D94CCA" w:rsidP="00D94CCA">
      <w:pPr>
        <w:pStyle w:val="1"/>
        <w:shd w:val="clear" w:color="auto" w:fill="FFFFFF"/>
        <w:spacing w:before="0" w:beforeAutospacing="0" w:after="0" w:afterAutospacing="0" w:line="160" w:lineRule="atLeast"/>
        <w:ind w:firstLine="709"/>
        <w:jc w:val="both"/>
        <w:rPr>
          <w:sz w:val="24"/>
          <w:szCs w:val="24"/>
          <w:lang w:val="uk-UA"/>
        </w:rPr>
      </w:pPr>
    </w:p>
    <w:p w:rsidR="00D94CCA" w:rsidRDefault="00D94CCA" w:rsidP="00D94CCA">
      <w:pPr>
        <w:pStyle w:val="1"/>
        <w:shd w:val="clear" w:color="auto" w:fill="FFFFFF"/>
        <w:spacing w:before="0" w:beforeAutospacing="0" w:after="0" w:afterAutospacing="0" w:line="160" w:lineRule="atLeast"/>
        <w:ind w:firstLine="709"/>
        <w:jc w:val="both"/>
        <w:rPr>
          <w:sz w:val="24"/>
          <w:szCs w:val="24"/>
          <w:lang w:val="uk-UA"/>
        </w:rPr>
      </w:pPr>
    </w:p>
    <w:p w:rsidR="00D94CCA" w:rsidRPr="00D23B18" w:rsidRDefault="00D94CCA" w:rsidP="00D94CCA">
      <w:pPr>
        <w:pStyle w:val="1"/>
        <w:shd w:val="clear" w:color="auto" w:fill="FFFFFF"/>
        <w:spacing w:before="0" w:beforeAutospacing="0" w:after="0" w:afterAutospacing="0" w:line="160" w:lineRule="atLeast"/>
        <w:ind w:firstLine="709"/>
        <w:jc w:val="both"/>
        <w:rPr>
          <w:sz w:val="24"/>
          <w:szCs w:val="24"/>
        </w:rPr>
      </w:pPr>
      <w:r>
        <w:rPr>
          <w:sz w:val="24"/>
          <w:szCs w:val="24"/>
          <w:lang w:val="uk-UA"/>
        </w:rPr>
        <w:lastRenderedPageBreak/>
        <w:t>2.Г</w:t>
      </w:r>
      <w:r w:rsidRPr="00D23B18">
        <w:rPr>
          <w:sz w:val="24"/>
          <w:szCs w:val="24"/>
        </w:rPr>
        <w:t>ромадянська участь у житті суспільства</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rStyle w:val="a4"/>
        </w:rPr>
        <w:t>Форми соціальної активності громадян у межах владних інституцій</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t>Усі люди живуть у суспільстві, але всі вони неоднаковою мірою залучені до нього. Іншими словами, у житті однієї людини спілкування з іншими людьми посідає набагато важливіше місце, ніж у житті іншої. Громадян, які з власної ініціативи беруть участь у загальних для спільноти заходах, спрямованих на вирішення проблем усієї спільноти, називають соціально активними.</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t>Важливими ознаками соціальної активності особистості є сильне, стале прагнення впливати на соціальні процеси та дієва участь у суспільних справах, прагнення змінити, перетворити або, навпаки, зберегти, зміцнити існуючий соціальний лад, його форми та елементи. Отже, соціально активна людина не просто активно виражає своє ставлення до певних соціальних проблем, але й докладає зусиль для їх вирішення.</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t>У демократичному суспільстві існує чимало способів соціальної активності. Деякі з них було розглянуто в попередніх темах. Це, наприклад, право кожного громадянина України брати участь у місцевому самоврядуванні. Реалізувати це право він може, узявши участь у:</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t>• місцевому референдумі;</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t>• місцевих виборах (депутатів місцевої ради, інших посадових осіб місцевого самоврядування);</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t>• загальних зборах (конференції) громадян за місцем проживання;</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t>• місцевих ініціативах;</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t>• громадських слуханнях;</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t>• роботі органів самоорганізації населення.</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rStyle w:val="a4"/>
        </w:rPr>
        <w:t>Місцевий референдум</w:t>
      </w:r>
      <w:r w:rsidRPr="00D23B18">
        <w:t> — це форма прийняття територіальною громадою рішень із питань, що належать до відання місцевого самоврядування, шляхом прямого голосування. Виключно місцевими референдумами вирішуються питання про найменування або перейменування сіл, селищ, міст, районів, областей.</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rStyle w:val="a4"/>
        </w:rPr>
        <w:t>Загальні збори громадян за місцем проживання</w:t>
      </w:r>
      <w:r w:rsidRPr="00D23B18">
        <w:t> — це зібрання всіх або частини жителів села (сіл), селища, міста для вирішення питань місцевого значення. їх скликають за місцем проживання в разі необхідності, але не рідше одного разу на рік для обговорення найважливіших питань місцевого життя. До компетенції зборів належить велика кількість питань, що стосуються всіх сфер життя громади й місцевого самоврядування.</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rStyle w:val="a4"/>
        </w:rPr>
        <w:t>Соціальна активність</w:t>
      </w:r>
      <w:r w:rsidRPr="00D23B18">
        <w:t> — сукупність форм людської діяльності, свідомо орієнтованої на вирішення завдань, що постають перед соціальною спільнотою, суспільством.</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rStyle w:val="a4"/>
        </w:rPr>
        <w:t>Волонтерська діяльність (волонтерство) (від фр. volontaire — доброволець)</w:t>
      </w:r>
      <w:r w:rsidRPr="00D23B18">
        <w:t> — добровільна, безкорислива, соціально спрямована неприбуткова діяльність окремих людей або організацій. Вона є формою благодійництва та однією із засад громадянського суспільства.</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rStyle w:val="a4"/>
        </w:rPr>
        <w:t>ВИДИ МІСЦЕВИХ ІНІЦІАТИВ</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noProof/>
        </w:rPr>
        <w:lastRenderedPageBreak/>
        <w:drawing>
          <wp:inline distT="0" distB="0" distL="0" distR="0" wp14:anchorId="2D0BC774" wp14:editId="37EF6902">
            <wp:extent cx="2592070" cy="2401570"/>
            <wp:effectExtent l="0" t="0" r="0" b="0"/>
            <wp:docPr id="18" name="Рисунок 18" descr="https://history.vn.ua/pidruchniki/gisem-civil-education-10-class-2018/gisem-civil-education-10-class-2018.files/image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history.vn.ua/pidruchniki/gisem-civil-education-10-class-2018/gisem-civil-education-10-class-2018.files/image04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2070" cy="2401570"/>
                    </a:xfrm>
                    <a:prstGeom prst="rect">
                      <a:avLst/>
                    </a:prstGeom>
                    <a:noFill/>
                    <a:ln>
                      <a:noFill/>
                    </a:ln>
                  </pic:spPr>
                </pic:pic>
              </a:graphicData>
            </a:graphic>
          </wp:inline>
        </w:drawing>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rStyle w:val="a4"/>
        </w:rPr>
        <w:t>РІВНІ МІСЦЕВИХ ІНІЦІАТИВ</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noProof/>
        </w:rPr>
        <w:drawing>
          <wp:inline distT="0" distB="0" distL="0" distR="0" wp14:anchorId="769C5095" wp14:editId="65CC62AE">
            <wp:extent cx="2655570" cy="2440940"/>
            <wp:effectExtent l="0" t="0" r="0" b="0"/>
            <wp:docPr id="17" name="Рисунок 17" descr="https://history.vn.ua/pidruchniki/gisem-civil-education-10-class-2018/gisem-civil-education-10-class-2018.files/image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history.vn.ua/pidruchniki/gisem-civil-education-10-class-2018/gisem-civil-education-10-class-2018.files/image0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5570" cy="2440940"/>
                    </a:xfrm>
                    <a:prstGeom prst="rect">
                      <a:avLst/>
                    </a:prstGeom>
                    <a:noFill/>
                    <a:ln>
                      <a:noFill/>
                    </a:ln>
                  </pic:spPr>
                </pic:pic>
              </a:graphicData>
            </a:graphic>
          </wp:inline>
        </w:drawing>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rStyle w:val="a4"/>
        </w:rPr>
        <w:t>Яку інформацію про місцеві ініціативи можна отримати за наведеними схемами?</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t>Члени територіальної громади мають право ініціювати розгляд у раді (у порядку місцевої ініціативи) будь-якого питання, що стосується місцевого самоврядування. Внесена до розгляду належним чином місцева ініціатива має бути обов’язково розглянута органом самоуправління.</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t>Територіальна громада має право проводити громадські слухання з питань, винесених законом до сфери її відання. Громадське слухання — це офіційне засідання місцевої ради, органу місцевої влади або місцевого самоврядування, на якому депутати та посадові особи ознайомлюються з думками, враженнями, зауваженнями та пропозиціями жителів міста (села, селища, району) із проблеми чи заходу, які орган влади збирається реалізувати. Головними ознаками громадських слухань, які роблять їх одним із найбільш ефективних інструментів спілкування громадянина з владою, є те, що:</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t>• кожен охочий може взяти участь у громадських слуханнях — як фізична особа, так і представник тієї чи іншої організації;</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t>• на відміну від усіх інших форм громадської участі, громадські слухання проводять безпосередньо перед прийняттям владою того чи іншого рішення; Громадські слухання можуть також провести з метою:</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t>• дізнатися думку громадян щодо тактики, стратегії керівництва міста (села, селища), правильності прийнятих керівництвом рішень;</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t>• ознайомити громадян із планами керівництва територіальної громади та результатами його діяльності (заслуховування керівництва громади);</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t>• забезпечити прозорість діяльності органів і посадових осіб місцевого самоврядування задля підвищення довіри в жителів до місцевої влади;</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lastRenderedPageBreak/>
        <w:t>• отримати пропозиції та поради від членів громади щодо розв’язання поточних проблем та підтримки громади в разі лобіювання її інтересів перед іншими владними структурами;</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t>• отримати поради від жителів міста (села, селища) — споживачів послуг, як краще розв’язати певну проблему.</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t>Проте й поза межами владних інституцій існують способи вияву позиції щодо того чи іншого питання, важливого для суспільства.</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t>Участь людини в таких масових заходах, як демонстрації, мітинги, пікети, марші та походи, уже є формою соціальної активності. У такий спосіб вона демонструє іншим свою підтримку тієї чи іншої спільноти, її цінностей, уявлень про найкращий шлях розвитку для соціуму.</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t>Активна участь громадянина в інституціях місцевого самоврядування є однією з основ побудови демократичного громадянського суспільства.</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t>Як соціальна активність впливає на діяльність державних органів?</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rStyle w:val="a4"/>
        </w:rPr>
        <w:t>ЦІКАВО ЗНАТИ</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rStyle w:val="a5"/>
        </w:rPr>
        <w:t>Революція Гідності й агресія Роси проти нашої країни призвели до розгортання в Україні потужного волонтерського руху. Так, завдяки волонтерству протестувальники були забезпечені всім необхідним, тривалий час постачали до армії продовольство, одяг, амуніцію, медичні засоби, ремонтували бойову техніку, надавали психологічну підтримку тощо. Саме волонтери стали рушіями змін у реформуванні міністерства оборони, системи охорони здоров'я, освіти тощо. За короткий час виникла низка волонтерських організацій, які стали впливовою силою в суспільному й політичному житті.</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rStyle w:val="a4"/>
        </w:rPr>
        <w:t>ЦІКАВО ЗНАТИ</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rStyle w:val="a5"/>
        </w:rPr>
        <w:t>Із 1970-х рр. великі світові компанії почали стратегічно планувати свою участь у вирішенні важливих для суспільства питань. Одним зі способів цієї активності стало стимулювання своїх працівників до волонтерської діяльності — від виділення окремих днів у робочому графіку для спільної праці на користь громади до спеціальних волонтерських відпусток. Кожен працівник такої компанії може взяти певну кількість днів відпустки як за власний рахунок, так і за рахунок підприємства для участі в цих заходах.</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rStyle w:val="a5"/>
        </w:rPr>
        <w:t>Наведіть приклади діяльності волонтерів у сучасній Україні.</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rStyle w:val="a4"/>
        </w:rPr>
        <w:t>2. Волонтерська діяльність</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t>Однією із форм соціальної активності та важливим чинником побудови громадянського суспільства є волонтерська діяльність. Вона може відбуватися як організовано, волонтерськими групами за підтримки державних та громадських організацій, так і безсистемно, у вигляді спонтанної допомоги іншим людям. Переважно це хворі, люди з особливими фізичними потребами, літні люди, безпритульні, багатодітні сім’ї та сироти. Волонтерство також може спрямовуватися на будь-яку особу чи групу осіб, що потребують допомоги.</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t>Спектр благодійної діяльності волонтерів дуже великий. Вони можуть виступати організаторами заходів, спрямованих на залучення широкого загалу: освітніх проектів, змагань, фестивалів, концертів, збору коштів та речей для благодійних ініціатив. Крім цього, самі волонтери можуть безкоштовно працювати консультантами з юридичних та фінансових питань, веб-розробниками, перекладачами, соціальними робітниками тощо.</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t xml:space="preserve">У Європі волонтерство є одним із давно усталених соціальних інституцій. У 2012 р. було затверджено Європейську хартію прав та обов’язківволонтерів, що встановлює стандарти волонтерської діяльності та рекомендації. Існують рекомендації Агенції ООН із волонтерства, що пропонують способи ефективної взаємодії волонтерів із державними органами влади. Для розвитку міжнародної волонтерської діяльності серед молоді було створено Європейську конвенцію про заохочення міжнародної довгострокової волонтерської служби для молодих осіб, яка встановлює правову основу для міжнародного волонтерства. Таким чином, європейське волонтерство має чіткі стандарти </w:t>
      </w:r>
      <w:r w:rsidRPr="00D23B18">
        <w:lastRenderedPageBreak/>
        <w:t>діяльності. В Україні правовий статус волонтерської діяльності перебуває в стадії формування.</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t>Що таке волонтерство?</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rStyle w:val="a4"/>
        </w:rPr>
        <w:t>ВИСНОВКИ</w:t>
      </w:r>
    </w:p>
    <w:p w:rsidR="00D94CCA" w:rsidRPr="00D23B18" w:rsidRDefault="00D94CCA" w:rsidP="00D94CCA">
      <w:pPr>
        <w:pStyle w:val="a3"/>
        <w:shd w:val="clear" w:color="auto" w:fill="FFFFFF"/>
        <w:spacing w:before="0" w:beforeAutospacing="0" w:after="0" w:afterAutospacing="0" w:line="160" w:lineRule="atLeast"/>
        <w:ind w:firstLine="709"/>
        <w:jc w:val="both"/>
      </w:pPr>
      <w:r w:rsidRPr="00D23B18">
        <w:rPr>
          <w:rStyle w:val="a4"/>
        </w:rPr>
        <w:t>Соціальна активність</w:t>
      </w:r>
      <w:r w:rsidRPr="00D23B18">
        <w:t> — одна із форм взаємодії людини із суспільством, спосіб долучення до вирішення суспільно важливих питань. Вона може набувати різних форм, таких як участь у місцевому самоуправлінні або волонтерській діяльності, і відбуватися у співпраці з державною владою або автономно.</w:t>
      </w:r>
    </w:p>
    <w:p w:rsidR="002C4FA7" w:rsidRDefault="002C4FA7">
      <w:bookmarkStart w:id="0" w:name="_GoBack"/>
      <w:bookmarkEnd w:id="0"/>
    </w:p>
    <w:sectPr w:rsidR="002C4F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998"/>
    <w:rsid w:val="002C4FA7"/>
    <w:rsid w:val="00D85998"/>
    <w:rsid w:val="00D94C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4CCA"/>
  </w:style>
  <w:style w:type="paragraph" w:styleId="1">
    <w:name w:val="heading 1"/>
    <w:basedOn w:val="a"/>
    <w:link w:val="10"/>
    <w:uiPriority w:val="9"/>
    <w:qFormat/>
    <w:rsid w:val="00D94C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94CCA"/>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D94C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94CCA"/>
    <w:rPr>
      <w:b/>
      <w:bCs/>
    </w:rPr>
  </w:style>
  <w:style w:type="character" w:styleId="a5">
    <w:name w:val="Emphasis"/>
    <w:basedOn w:val="a0"/>
    <w:uiPriority w:val="20"/>
    <w:qFormat/>
    <w:rsid w:val="00D94CC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4CCA"/>
  </w:style>
  <w:style w:type="paragraph" w:styleId="1">
    <w:name w:val="heading 1"/>
    <w:basedOn w:val="a"/>
    <w:link w:val="10"/>
    <w:uiPriority w:val="9"/>
    <w:qFormat/>
    <w:rsid w:val="00D94C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94CCA"/>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D94C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94CCA"/>
    <w:rPr>
      <w:b/>
      <w:bCs/>
    </w:rPr>
  </w:style>
  <w:style w:type="character" w:styleId="a5">
    <w:name w:val="Emphasis"/>
    <w:basedOn w:val="a0"/>
    <w:uiPriority w:val="20"/>
    <w:qFormat/>
    <w:rsid w:val="00D94C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2191</Words>
  <Characters>12493</Characters>
  <Application>Microsoft Office Word</Application>
  <DocSecurity>0</DocSecurity>
  <Lines>104</Lines>
  <Paragraphs>29</Paragraphs>
  <ScaleCrop>false</ScaleCrop>
  <Company/>
  <LinksUpToDate>false</LinksUpToDate>
  <CharactersWithSpaces>14655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2020-03-17T09:14:00Z</dcterms:created>
  <dcterms:modified xsi:type="dcterms:W3CDTF">2020-03-17T09:14:00Z</dcterms:modified>
</cp:coreProperties>
</file>