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D2" w:rsidRDefault="001F45D2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31F9F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164546">
        <w:rPr>
          <w:rFonts w:ascii="Times New Roman" w:hAnsi="Times New Roman" w:cs="Times New Roman"/>
          <w:b/>
          <w:sz w:val="28"/>
          <w:szCs w:val="28"/>
        </w:rPr>
        <w:t>Інфраструктура перевірки правильності програмних систем</w:t>
      </w:r>
    </w:p>
    <w:p w:rsidR="001F45D2" w:rsidRPr="001F45D2" w:rsidRDefault="001F45D2" w:rsidP="001F45D2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визначати склад </w:t>
      </w:r>
      <w:r w:rsidRPr="001F45D2">
        <w:rPr>
          <w:rFonts w:ascii="Times New Roman" w:hAnsi="Times New Roman" w:cs="Times New Roman"/>
          <w:sz w:val="28"/>
          <w:szCs w:val="28"/>
        </w:rPr>
        <w:t>інфраструктури перевірки правильності програмних систем</w:t>
      </w:r>
      <w:r w:rsidR="00F657B1">
        <w:rPr>
          <w:rFonts w:ascii="Times New Roman" w:hAnsi="Times New Roman" w:cs="Times New Roman"/>
          <w:sz w:val="28"/>
          <w:szCs w:val="28"/>
        </w:rPr>
        <w:t xml:space="preserve"> </w:t>
      </w:r>
      <w:r w:rsidR="00D94EA9">
        <w:rPr>
          <w:rFonts w:ascii="Times New Roman" w:hAnsi="Times New Roman" w:cs="Times New Roman"/>
          <w:sz w:val="28"/>
          <w:szCs w:val="28"/>
        </w:rPr>
        <w:t xml:space="preserve">на </w:t>
      </w:r>
      <w:r w:rsidR="00F657B1" w:rsidRPr="00F657B1">
        <w:rPr>
          <w:rFonts w:ascii="Times New Roman" w:hAnsi="Times New Roman" w:cs="Times New Roman"/>
          <w:sz w:val="28"/>
          <w:szCs w:val="28"/>
        </w:rPr>
        <w:t>етапі розроблення програмного забезпечення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1F45D2" w:rsidRPr="000744B7" w:rsidRDefault="001F45D2" w:rsidP="001F45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1F45D2" w:rsidRPr="0019479D" w:rsidRDefault="001F45D2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F657B1" w:rsidRPr="00F657B1" w:rsidRDefault="00F657B1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власного проекту визначити та конкретизувати такі аспекти інфраструктури</w:t>
      </w:r>
    </w:p>
    <w:p w:rsidR="00F657B1" w:rsidRPr="009872F9" w:rsidRDefault="00F657B1" w:rsidP="00F657B1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Техніка і комунікації</w:t>
      </w:r>
    </w:p>
    <w:p w:rsidR="00D94EA9" w:rsidRPr="009872F9" w:rsidRDefault="00D94EA9" w:rsidP="00F657B1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Загальносистемне ПЗ та інструменти</w:t>
      </w:r>
    </w:p>
    <w:p w:rsidR="00D94EA9" w:rsidRPr="009872F9" w:rsidRDefault="00D94EA9" w:rsidP="00F657B1">
      <w:pPr>
        <w:pStyle w:val="a3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>Інформаційні ресурси і стандарти розробки</w:t>
      </w:r>
    </w:p>
    <w:p w:rsidR="009872F9" w:rsidRPr="009872F9" w:rsidRDefault="009872F9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872F9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перелік </w:t>
      </w:r>
      <w:r w:rsidRPr="009872F9">
        <w:rPr>
          <w:rFonts w:ascii="Times New Roman" w:hAnsi="Times New Roman" w:cs="Times New Roman"/>
          <w:bCs/>
          <w:sz w:val="28"/>
          <w:szCs w:val="28"/>
          <w:lang w:val="uk-UA"/>
        </w:rPr>
        <w:t>інструментів за класифікацією по SWEBOK</w:t>
      </w:r>
    </w:p>
    <w:p w:rsidR="001F45D2" w:rsidRPr="0019479D" w:rsidRDefault="001F45D2" w:rsidP="001F45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1F45D2" w:rsidRPr="00D57F82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 w:rsidRPr="00D57F82">
        <w:rPr>
          <w:rStyle w:val="a4"/>
          <w:color w:val="000000"/>
          <w:sz w:val="28"/>
          <w:szCs w:val="28"/>
        </w:rPr>
        <w:t>Назва практичної роботи.</w:t>
      </w:r>
    </w:p>
    <w:p w:rsidR="001F45D2" w:rsidRPr="00D57F82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4"/>
          <w:color w:val="000000"/>
          <w:sz w:val="28"/>
          <w:szCs w:val="28"/>
        </w:rPr>
        <w:t>Прізвище, група</w:t>
      </w:r>
    </w:p>
    <w:p w:rsidR="001F45D2" w:rsidRPr="00ED0F3F" w:rsidRDefault="001F45D2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Назва проекту</w:t>
      </w:r>
      <w:r w:rsidRPr="00D57F82">
        <w:rPr>
          <w:rStyle w:val="a4"/>
          <w:color w:val="000000"/>
          <w:sz w:val="28"/>
          <w:szCs w:val="28"/>
        </w:rPr>
        <w:t>.</w:t>
      </w:r>
    </w:p>
    <w:p w:rsidR="001F45D2" w:rsidRPr="009872F9" w:rsidRDefault="00F657B1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Склад інфраструктури на етапі розроблення</w:t>
      </w:r>
      <w:r w:rsidR="001F45D2" w:rsidRPr="00F657B1">
        <w:rPr>
          <w:sz w:val="28"/>
          <w:szCs w:val="28"/>
        </w:rPr>
        <w:t xml:space="preserve"> програмного забезпечення</w:t>
      </w:r>
      <w:r w:rsidR="00D94EA9">
        <w:rPr>
          <w:sz w:val="28"/>
          <w:szCs w:val="28"/>
        </w:rPr>
        <w:t xml:space="preserve"> відповідно до п.2</w:t>
      </w:r>
      <w:r w:rsidR="001F45D2">
        <w:rPr>
          <w:sz w:val="28"/>
          <w:szCs w:val="28"/>
        </w:rPr>
        <w:t>.</w:t>
      </w:r>
      <w:r w:rsidR="00D94EA9">
        <w:rPr>
          <w:sz w:val="28"/>
          <w:szCs w:val="28"/>
        </w:rPr>
        <w:t xml:space="preserve"> з наданням конкретних назв інструментів, засобів, документів</w:t>
      </w:r>
      <w:r w:rsidR="00D94EA9" w:rsidRPr="00D94EA9">
        <w:rPr>
          <w:sz w:val="28"/>
          <w:szCs w:val="28"/>
        </w:rPr>
        <w:t xml:space="preserve"> </w:t>
      </w:r>
      <w:r w:rsidR="00D94EA9">
        <w:rPr>
          <w:sz w:val="28"/>
          <w:szCs w:val="28"/>
        </w:rPr>
        <w:t xml:space="preserve">та, </w:t>
      </w:r>
    </w:p>
    <w:p w:rsidR="009872F9" w:rsidRPr="000744B7" w:rsidRDefault="009872F9" w:rsidP="001F45D2">
      <w:pPr>
        <w:pStyle w:val="a5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4"/>
          <w:sz w:val="28"/>
          <w:szCs w:val="28"/>
        </w:rPr>
      </w:pPr>
      <w:r>
        <w:rPr>
          <w:sz w:val="28"/>
          <w:szCs w:val="28"/>
        </w:rPr>
        <w:t>П</w:t>
      </w:r>
      <w:r w:rsidRPr="009872F9">
        <w:rPr>
          <w:sz w:val="28"/>
          <w:szCs w:val="28"/>
        </w:rPr>
        <w:t xml:space="preserve">ерелік </w:t>
      </w:r>
      <w:r w:rsidRPr="009872F9">
        <w:rPr>
          <w:bCs/>
          <w:sz w:val="28"/>
          <w:szCs w:val="28"/>
        </w:rPr>
        <w:t>інструментів за класифікацією по SWEBOK</w:t>
      </w:r>
      <w:r w:rsidR="002F3A22">
        <w:rPr>
          <w:bCs/>
          <w:sz w:val="28"/>
          <w:szCs w:val="28"/>
        </w:rPr>
        <w:t xml:space="preserve"> з конкретизацією назви інструменту (наприклад, назва конкретного засобу UML моделювання, текстового редактору тощо).</w:t>
      </w:r>
    </w:p>
    <w:p w:rsidR="001F45D2" w:rsidRPr="00013682" w:rsidRDefault="001F45D2" w:rsidP="001F45D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6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F45D2" w:rsidRPr="00013682" w:rsidRDefault="001F45D2" w:rsidP="001F45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1F45D2" w:rsidRPr="00942441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F45D2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F45D2" w:rsidRDefault="001F45D2" w:rsidP="001F45D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F45D2" w:rsidRPr="00256F8C" w:rsidRDefault="001F45D2" w:rsidP="001F45D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1F45D2" w:rsidRPr="00942441" w:rsidRDefault="001F45D2" w:rsidP="001F4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5D2" w:rsidRDefault="001F45D2" w:rsidP="001F45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10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1F45D2" w:rsidRPr="009E2FD0" w:rsidRDefault="001F45D2" w:rsidP="001F45D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F45D2" w:rsidRPr="00847ED9" w:rsidRDefault="001F45D2" w:rsidP="001F4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F45D2" w:rsidRPr="00A7660F" w:rsidRDefault="00A7660F" w:rsidP="00A76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60F">
        <w:rPr>
          <w:rFonts w:ascii="Times New Roman" w:hAnsi="Times New Roman" w:cs="Times New Roman"/>
          <w:i/>
          <w:iCs/>
          <w:sz w:val="28"/>
          <w:szCs w:val="28"/>
        </w:rPr>
        <w:t xml:space="preserve">Програмна система </w:t>
      </w:r>
      <w:r w:rsidRPr="00A7660F">
        <w:rPr>
          <w:rFonts w:ascii="Times New Roman" w:hAnsi="Times New Roman" w:cs="Times New Roman"/>
          <w:sz w:val="28"/>
          <w:szCs w:val="28"/>
        </w:rPr>
        <w:t>(ПС) — група інтегрованих програмних засобів, які підтримують певний діловий процес споживача (або його частину) і використовують загальне сховище даних.</w:t>
      </w:r>
    </w:p>
    <w:p w:rsidR="00A7660F" w:rsidRDefault="00A7660F" w:rsidP="00A7660F">
      <w:pPr>
        <w:spacing w:after="0" w:line="240" w:lineRule="auto"/>
        <w:ind w:firstLine="708"/>
        <w:jc w:val="both"/>
        <w:rPr>
          <w:i/>
          <w:i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верифікаторів і тестувальників, які виконують роботи з розроблення правильної системи за договорами із організаціями-замовниками.</w:t>
      </w:r>
    </w:p>
    <w:p w:rsidR="00A7660F" w:rsidRDefault="00A7660F" w:rsidP="00A7660F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D94EA9" w:rsidRPr="00D94EA9">
        <w:rPr>
          <w:b/>
          <w:sz w:val="28"/>
          <w:szCs w:val="28"/>
        </w:rPr>
        <w:t>1.</w:t>
      </w:r>
      <w:r w:rsidR="00D94EA9"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Компоненти інфраструктури розробки ПС. </w:t>
      </w:r>
    </w:p>
    <w:p w:rsidR="00A7660F" w:rsidRP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Розглядаються </w:t>
      </w:r>
      <w:r w:rsidR="001865FB" w:rsidRPr="001865FB">
        <w:rPr>
          <w:bCs/>
          <w:sz w:val="28"/>
          <w:szCs w:val="28"/>
          <w:lang w:val="ru-RU"/>
        </w:rPr>
        <w:t>т</w:t>
      </w:r>
      <w:r w:rsidR="001865FB">
        <w:rPr>
          <w:bCs/>
          <w:sz w:val="28"/>
          <w:szCs w:val="28"/>
        </w:rPr>
        <w:t>ехніко-технологічний та</w:t>
      </w:r>
      <w:r w:rsidR="001865FB" w:rsidRPr="001865FB">
        <w:rPr>
          <w:bCs/>
          <w:sz w:val="28"/>
          <w:szCs w:val="28"/>
        </w:rPr>
        <w:t xml:space="preserve"> кадровий</w:t>
      </w:r>
      <w:r w:rsidR="001865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аспекти</w:t>
      </w:r>
      <w:r w:rsidR="001865FB">
        <w:rPr>
          <w:bCs/>
          <w:sz w:val="28"/>
          <w:szCs w:val="28"/>
        </w:rPr>
        <w:t xml:space="preserve"> з погляду на виконання розроблення як основного процесу за </w:t>
      </w:r>
      <w:r w:rsidR="001865FB" w:rsidRPr="002C4727">
        <w:rPr>
          <w:sz w:val="28"/>
          <w:szCs w:val="28"/>
          <w:lang w:val="de-DE"/>
        </w:rPr>
        <w:t>ISO 12207</w:t>
      </w:r>
      <w:r w:rsidR="001865FB">
        <w:rPr>
          <w:sz w:val="28"/>
          <w:szCs w:val="28"/>
        </w:rPr>
        <w:t xml:space="preserve"> таким чином.</w:t>
      </w:r>
      <w:r>
        <w:rPr>
          <w:b/>
          <w:bCs/>
          <w:sz w:val="28"/>
          <w:szCs w:val="28"/>
        </w:rPr>
        <w:t xml:space="preserve"> </w:t>
      </w:r>
    </w:p>
    <w:p w:rsidR="00A7660F" w:rsidRDefault="00A7660F" w:rsidP="001865FB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Техніко-технологічний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Техніка і комунікації: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Комп’ютери користувачів, файлові сервери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Локальні комп’ютерні мережі (ЛКМ)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Глобальна комп’ютерна мережа (ГКМ)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Електронна пошта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Техніка для тестування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Офісна техніка </w:t>
      </w:r>
    </w:p>
    <w:p w:rsidR="00A7660F" w:rsidRDefault="00A7660F" w:rsidP="001865FB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Інші складові комплексу технічних засобів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Загальносистемне ПЗ та інструменти: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Клієнт-серверні технології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Операційні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Офісні системи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документообігу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Утиліти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захисту інформації (антивіруси)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CASE-інструменти, системи програмування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Графічні інструменти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Інформаційні ресурси і стандарти розробки: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Методології розробки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проектами, конфігураціями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Системи підтримки використання ресурсів Інтернет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документи, які стосуються технічних, програмних, комуні-каційних засобів, даних і захисту інформації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Нормативні документи оформлення матеріалів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Методичні матеріали, шаблони і заготовки документів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Міжпроектна програмна підтримка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Розроблені програми (модулі), визнані здатними до загального користування, документовані та поміщені під контроль конфігурації. </w:t>
      </w:r>
    </w:p>
    <w:p w:rsidR="00A7660F" w:rsidRDefault="00A7660F" w:rsidP="00D94EA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Кадровий аспект.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Навчання методам і технологіям: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Можливості організації по навчанню спеціалістів методам та прийомам розробки ПЗ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Можливості вивчення спеціалістами техніко-технологічних компонент інфраструктури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Обмін позитивним та негативним досвідом: </w:t>
      </w:r>
    </w:p>
    <w:p w:rsidR="00A7660F" w:rsidRDefault="00A7660F" w:rsidP="00D94EA9">
      <w:pPr>
        <w:pStyle w:val="Default"/>
        <w:spacing w:after="38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Культура «відкритого» сприйняття/передачі набутого досвіду, знань, характерних помилок. Сприяння розповсюдженню позитивного досвіду. Не приховування власних помилок і не перекладання відповідальності за них. Бажання навчатись/навчати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Накопичення і закріплення позитивного досвіду: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форматів і засобів накопичення і зберігання здобутого досвіду (опитування, семінари тощо)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Створення бібліотек активів організації за принципом «кращий об’єкт». Включення їх у сферу керування конфігурацією. Забезпечення доступності. </w:t>
      </w:r>
    </w:p>
    <w:p w:rsidR="00A7660F" w:rsidRDefault="00A7660F" w:rsidP="00A7660F">
      <w:pPr>
        <w:pStyle w:val="Default"/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Стандарти міжпроектної взаємодії: </w:t>
      </w:r>
    </w:p>
    <w:p w:rsidR="00A7660F" w:rsidRDefault="00A7660F" w:rsidP="00D94EA9">
      <w:pPr>
        <w:pStyle w:val="Default"/>
        <w:numPr>
          <w:ilvl w:val="0"/>
          <w:numId w:val="5"/>
        </w:numPr>
        <w:spacing w:after="3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 стандартів (меж компетенції, знань) по процесам життєвого циклу (ЖЦ) ПС. Уніфікація та стандартизація прийомів роботи з метою побудови і підтримки базового процесу програмної інженерії </w:t>
      </w:r>
    </w:p>
    <w:p w:rsidR="00A7660F" w:rsidRDefault="00A7660F" w:rsidP="00D94EA9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Профілювання знань для забезпечення замінюваності спеціалістів в проекті. Дотримання принципу «глибокі знання у вузькій сфері»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</w:p>
    <w:p w:rsidR="00A7660F" w:rsidRDefault="00A7660F" w:rsidP="009872F9">
      <w:pPr>
        <w:pStyle w:val="Default"/>
        <w:ind w:firstLine="3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Ролі спеціалістів в організаційній структурі розробки </w:t>
      </w:r>
    </w:p>
    <w:p w:rsidR="00A7660F" w:rsidRDefault="00A7660F" w:rsidP="009872F9">
      <w:pPr>
        <w:pStyle w:val="Default"/>
        <w:ind w:firstLine="708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Ролі на рівні організації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Група техніко-технологічної підтримки: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ринку послуг і попиту в організації відносно техніки та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техніки.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загальносистемного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Навчання/консультаційні послуги співробітникам.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Рекомендації по застосуванню техніки і технологій в проектах.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Група захисту інформації: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стану справ в області захисту інформації і накопичення досвіду.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Забезпечення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Перевірка захисту інформації 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проектів в питаннях захисту інформації. </w:t>
      </w:r>
    </w:p>
    <w:p w:rsidR="00A7660F" w:rsidRDefault="00A7660F" w:rsidP="00A7660F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Група інженерії процесу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Визначення, супровід та вдосконалення базового процесу програмної інженерії. Забезпечення нормативно-методичної підтримки виконання процесів ЖЦ. Організація та поповнення сховища (бібліотеки) активів організації.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Допомога менеджерам проектів в адаптації базового процесу до потреб проектів. Підбір або виготовлення форм (шаблонів) документів для інженерії проектів.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процесу документування в проектах, зокрема виконання важких графічних робіт, оформлення документів згідно стандартів оформлення. Нормоконтроль та друк документів.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Міжпроектна координація в частині накопичення досвіду і організації навчання.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керування конфігурацією в проектах. </w:t>
      </w:r>
    </w:p>
    <w:p w:rsidR="00A7660F" w:rsidRDefault="00A7660F" w:rsidP="00A7660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Незалежна група якості (SQA-група): </w:t>
      </w:r>
    </w:p>
    <w:p w:rsidR="00A7660F" w:rsidRDefault="00A7660F" w:rsidP="009872F9">
      <w:pPr>
        <w:pStyle w:val="Default"/>
        <w:spacing w:after="5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Планування та виконання дій по контролю і гарантії дотримання дисципліни створення програмної продукції в проектах (організація перевірок робіт в контрольних точках проектів, визначених календарними планами).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документів і продуктів ПЗ в контрольних точках проектів на предмет дотримання діючих стандартів та інших нормативних документів, встановлених у вимогах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безпосередньо перед керівником організації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5. Незалежна група верифікації та валідації (V&amp;V-група):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Виконання функції верифікації (по домовленості з групою SQA).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Планування і проведення незалежного кваліфікаційного тестування інтегрованих компонент ПЗ або програмних продуктів з метою визначення їх відповідності потребам замовника.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Координація планів робіт з менеджерами проектів відносно вимог до тестового середовища, строків і порядку передачі ПЗ на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Представлення звітів (результатів) тестування менеджерам проектів для прийняття мір по виправленню ПЗ.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Незалежність від менеджерів проектів в частині визначення об’ємів і методів тестування.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перед керівником організації за дотримання порядку тестування і стан розроблених програмних продуктів.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6. Група підтримки замовника: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Зв’язок із замовником з питань автоматизації ділових процесів.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Підтримка процесів керування вимогами, навчання користувачів, супроводу (або допомога в їх виконанні на рівні окремих проектів).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Ролі на рівні проекту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Керівник проекту системи: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Повна фінансова відповідальність за виконання проектних домовленостей перед замовником.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Керування розробкою складових створюваної продукції – проектів ПЗ, комплексу технічних засобів, засобів захисту інформації.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Відповідальність за дії виконавців проекту.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Системні аналітики: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Дослідження умов та потреб автоматизації діяльності організації-споживача.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Системний аналіз вимог споживача і формування концепції системи.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обґрунтованості проектних рішень, що приймаються.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Група якості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якості робочих продуктів, створених процесами ЖЦ (на відповідність стандартам, методикам тощо).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Може бути відсутньою, якщо на рівні організації діє незалежна група якості. </w:t>
      </w:r>
    </w:p>
    <w:p w:rsidR="00A7660F" w:rsidRDefault="00A7660F" w:rsidP="00A7660F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Група V&amp;V проекту: </w:t>
      </w:r>
    </w:p>
    <w:p w:rsidR="00A7660F" w:rsidRDefault="00A7660F" w:rsidP="009872F9">
      <w:pPr>
        <w:pStyle w:val="Default"/>
        <w:numPr>
          <w:ilvl w:val="0"/>
          <w:numId w:val="5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Перевірка відповідності робочих продуктів, вироблених на певному етапі ЖЦ, вимог до них, встановлених на попередньому етапі. </w:t>
      </w:r>
    </w:p>
    <w:p w:rsidR="00A7660F" w:rsidRDefault="00A7660F" w:rsidP="009872F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Може виконувати тестування окремих компонент ПЗ, а також системне (інтеграційне) тестування ПЗ, виробленого в проекті.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Менеджер проекту ПЗ: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Повна відповідальність за усі проектні рішення та дії, пов’язані з розробкою ПЗ в проекті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Підбір і контроль ресурсів проекту, а також графіка робіт.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У великих або розподілених програмних проектах може бути декілька менеджерів (по підсистемам або рівням проекту ПЗ).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Проектувальники: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Прийняття і документування проектних рішень по архітектурі і функціям ПЗ. Узгодження рішень з менеджером проекту ПЗ.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(забезпечення досягнення характеристик якості).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Програмісти: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Програмування або моделювання компонентів ПЗ по проектним специфікаціям, підготованих проектувальниками.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при програмуванні (по зручності супроводу коду, зручності застосування програм).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Відладка та автономне тестування розроблених компонент.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Група керування конфігурацією: </w:t>
      </w:r>
    </w:p>
    <w:p w:rsidR="00A7660F" w:rsidRDefault="00A7660F" w:rsidP="009872F9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Виконання процесу конфігураційного керування версій ПЗ і робочих продуктів проекту ПЗ.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9. Група супроводу: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супроводу версій ПЗ і робочих продуктів проекту ПЗ під час дослідної експлуатації і під час встановленого періоду супроводу.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Навчання користувачів.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розв’язання проблем.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Можуть бути членами групи підтримки замовника. </w:t>
      </w:r>
    </w:p>
    <w:p w:rsidR="00A7660F" w:rsidRDefault="00A7660F" w:rsidP="00A7660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Група проекту ЛКМ: </w:t>
      </w:r>
    </w:p>
    <w:p w:rsidR="00A7660F" w:rsidRDefault="00A7660F" w:rsidP="009872F9">
      <w:pPr>
        <w:pStyle w:val="Default"/>
        <w:numPr>
          <w:ilvl w:val="0"/>
          <w:numId w:val="2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 розробці системи «під ключ» проектування і монтаж ЛКМ для встановлення в організації споживача. </w:t>
      </w:r>
    </w:p>
    <w:p w:rsidR="00A7660F" w:rsidRDefault="00A7660F" w:rsidP="009872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Закупівля і встановлення КТЗ і загальносистемного ПЗ, пуско-налагоджувальні дії. </w:t>
      </w:r>
    </w:p>
    <w:p w:rsidR="00A7660F" w:rsidRDefault="00A7660F" w:rsidP="009872F9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інструментів по SWEBOK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роботи з вимогами: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моделювання.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трасування.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проектування: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UML.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Бізнес-проектування.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Проектування БД.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конструювання: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Редактори програм.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Компілятори і генератори коду. </w:t>
      </w:r>
    </w:p>
    <w:p w:rsidR="00A7660F" w:rsidRDefault="00A7660F" w:rsidP="002F3A22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Інтерпретатори. </w:t>
      </w:r>
    </w:p>
    <w:p w:rsidR="00A7660F" w:rsidRDefault="00A7660F" w:rsidP="002F3A22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Дебаггери.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тестування: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Генератори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виконання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оцінки тестів.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тестами.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аналізу продуктивності.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супроводу: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візуалізації.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реінженерії.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управління конфігурацією: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відслідковування дефектів і проблем.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управління версіями.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зборки та випуску.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інженерією: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планування та відстежування , прогнозування вартості.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ризиками.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кількісної оцінки.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підтримки процесів: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моделювання процесів.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процесами.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Інтегровані CASE-середовища і рольові платформи розробки.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Процес-орієнтовані середовища розробки. </w:t>
      </w:r>
    </w:p>
    <w:p w:rsidR="00A7660F" w:rsidRDefault="00A7660F" w:rsidP="00A7660F">
      <w:pPr>
        <w:pStyle w:val="Default"/>
        <w:rPr>
          <w:sz w:val="28"/>
          <w:szCs w:val="28"/>
        </w:rPr>
      </w:pP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забезпечення якості: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інспекції, підтримка оглядів та аудитів.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статичного аналізу. </w:t>
      </w:r>
    </w:p>
    <w:p w:rsidR="00A7660F" w:rsidRDefault="00A7660F" w:rsidP="00A766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Додаткові аспекти: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інтеграції інструментів: програмні платформи (Java, .NET Framework), платформи розподілених обчислень (CORBA, WebServices). </w:t>
      </w:r>
    </w:p>
    <w:p w:rsidR="00A7660F" w:rsidRDefault="00A7660F" w:rsidP="00D233F9">
      <w:pPr>
        <w:pStyle w:val="Default"/>
        <w:numPr>
          <w:ilvl w:val="0"/>
          <w:numId w:val="2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Мета інструменти: засоби генерації інших інструментів, компілятор компіляторів тощо. </w:t>
      </w:r>
    </w:p>
    <w:p w:rsidR="00A7660F" w:rsidRDefault="00A7660F" w:rsidP="00D233F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оцінки інструментів. </w:t>
      </w:r>
    </w:p>
    <w:p w:rsidR="00E37178" w:rsidRDefault="00E37178"/>
    <w:sectPr w:rsidR="00E37178" w:rsidSect="00D233F9">
      <w:headerReference w:type="default" r:id="rId8"/>
      <w:footerReference w:type="default" r:id="rId9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8A7" w:rsidRDefault="008328A7" w:rsidP="00D233F9">
      <w:pPr>
        <w:spacing w:after="0" w:line="240" w:lineRule="auto"/>
      </w:pPr>
      <w:r>
        <w:separator/>
      </w:r>
    </w:p>
  </w:endnote>
  <w:endnote w:type="continuationSeparator" w:id="0">
    <w:p w:rsidR="008328A7" w:rsidRDefault="008328A7" w:rsidP="00D2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552"/>
      <w:docPartObj>
        <w:docPartGallery w:val="Page Numbers (Bottom of Page)"/>
        <w:docPartUnique/>
      </w:docPartObj>
    </w:sdtPr>
    <w:sdtContent>
      <w:p w:rsidR="00D233F9" w:rsidRDefault="00D233F9" w:rsidP="00D233F9">
        <w:pPr>
          <w:pStyle w:val="ab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8A7" w:rsidRDefault="008328A7" w:rsidP="00D233F9">
      <w:pPr>
        <w:spacing w:after="0" w:line="240" w:lineRule="auto"/>
      </w:pPr>
      <w:r>
        <w:separator/>
      </w:r>
    </w:p>
  </w:footnote>
  <w:footnote w:type="continuationSeparator" w:id="0">
    <w:p w:rsidR="008328A7" w:rsidRDefault="008328A7" w:rsidP="00D2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3F9" w:rsidRPr="00D233F9" w:rsidRDefault="00D233F9">
    <w:pPr>
      <w:pStyle w:val="a9"/>
      <w:rPr>
        <w:rFonts w:ascii="Times New Roman" w:hAnsi="Times New Roman" w:cs="Times New Roman"/>
        <w:sz w:val="24"/>
        <w:szCs w:val="24"/>
      </w:rPr>
    </w:pPr>
    <w:r w:rsidRPr="00D233F9">
      <w:rPr>
        <w:rFonts w:ascii="Times New Roman" w:hAnsi="Times New Roman" w:cs="Times New Roman"/>
        <w:sz w:val="24"/>
        <w:szCs w:val="24"/>
      </w:rPr>
      <w:t>ОПІ. Практична робота №4. Інфраструктура перевірки правильності програмних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1A4E"/>
    <w:multiLevelType w:val="hybridMultilevel"/>
    <w:tmpl w:val="7188F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4318"/>
    <w:multiLevelType w:val="hybridMultilevel"/>
    <w:tmpl w:val="4CB04E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15825"/>
    <w:multiLevelType w:val="hybridMultilevel"/>
    <w:tmpl w:val="B2E48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6487"/>
    <w:multiLevelType w:val="hybridMultilevel"/>
    <w:tmpl w:val="AB28A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F64E5"/>
    <w:multiLevelType w:val="hybridMultilevel"/>
    <w:tmpl w:val="C8480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17D51"/>
    <w:multiLevelType w:val="hybridMultilevel"/>
    <w:tmpl w:val="D6983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B4F3C"/>
    <w:multiLevelType w:val="hybridMultilevel"/>
    <w:tmpl w:val="017080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E0FA8"/>
    <w:multiLevelType w:val="hybridMultilevel"/>
    <w:tmpl w:val="80302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A0379"/>
    <w:multiLevelType w:val="hybridMultilevel"/>
    <w:tmpl w:val="C4FEC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63042"/>
    <w:multiLevelType w:val="hybridMultilevel"/>
    <w:tmpl w:val="36828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F5423"/>
    <w:multiLevelType w:val="hybridMultilevel"/>
    <w:tmpl w:val="FB9C1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909A4"/>
    <w:multiLevelType w:val="hybridMultilevel"/>
    <w:tmpl w:val="02C45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B155B"/>
    <w:multiLevelType w:val="hybridMultilevel"/>
    <w:tmpl w:val="D3C83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10B77"/>
    <w:multiLevelType w:val="hybridMultilevel"/>
    <w:tmpl w:val="01C42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256C5"/>
    <w:multiLevelType w:val="hybridMultilevel"/>
    <w:tmpl w:val="306C2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15B1A"/>
    <w:multiLevelType w:val="hybridMultilevel"/>
    <w:tmpl w:val="93B4C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AC93E5F"/>
    <w:multiLevelType w:val="hybridMultilevel"/>
    <w:tmpl w:val="688A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0F2B37"/>
    <w:multiLevelType w:val="hybridMultilevel"/>
    <w:tmpl w:val="C1323952"/>
    <w:lvl w:ilvl="0" w:tplc="8B967B6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46F03"/>
    <w:multiLevelType w:val="hybridMultilevel"/>
    <w:tmpl w:val="36AE2C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3463F"/>
    <w:multiLevelType w:val="hybridMultilevel"/>
    <w:tmpl w:val="657227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D700A"/>
    <w:multiLevelType w:val="hybridMultilevel"/>
    <w:tmpl w:val="DBA02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61027"/>
    <w:multiLevelType w:val="hybridMultilevel"/>
    <w:tmpl w:val="B994E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00F67FD"/>
    <w:multiLevelType w:val="hybridMultilevel"/>
    <w:tmpl w:val="68DAD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50B70"/>
    <w:multiLevelType w:val="hybridMultilevel"/>
    <w:tmpl w:val="07AE0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85A4E"/>
    <w:multiLevelType w:val="hybridMultilevel"/>
    <w:tmpl w:val="6AE65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70462"/>
    <w:multiLevelType w:val="hybridMultilevel"/>
    <w:tmpl w:val="993065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372481"/>
    <w:multiLevelType w:val="hybridMultilevel"/>
    <w:tmpl w:val="3E860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315B5"/>
    <w:multiLevelType w:val="hybridMultilevel"/>
    <w:tmpl w:val="F32ED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A1C3F"/>
    <w:multiLevelType w:val="hybridMultilevel"/>
    <w:tmpl w:val="8368A6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1E1E21"/>
    <w:multiLevelType w:val="hybridMultilevel"/>
    <w:tmpl w:val="015EC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E1365"/>
    <w:multiLevelType w:val="hybridMultilevel"/>
    <w:tmpl w:val="958A4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3526D"/>
    <w:multiLevelType w:val="hybridMultilevel"/>
    <w:tmpl w:val="D1F09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"/>
  </w:num>
  <w:num w:numId="4">
    <w:abstractNumId w:val="18"/>
  </w:num>
  <w:num w:numId="5">
    <w:abstractNumId w:val="0"/>
  </w:num>
  <w:num w:numId="6">
    <w:abstractNumId w:val="28"/>
  </w:num>
  <w:num w:numId="7">
    <w:abstractNumId w:val="24"/>
  </w:num>
  <w:num w:numId="8">
    <w:abstractNumId w:val="30"/>
  </w:num>
  <w:num w:numId="9">
    <w:abstractNumId w:val="6"/>
  </w:num>
  <w:num w:numId="10">
    <w:abstractNumId w:val="32"/>
  </w:num>
  <w:num w:numId="11">
    <w:abstractNumId w:val="33"/>
  </w:num>
  <w:num w:numId="12">
    <w:abstractNumId w:val="27"/>
  </w:num>
  <w:num w:numId="13">
    <w:abstractNumId w:val="19"/>
  </w:num>
  <w:num w:numId="14">
    <w:abstractNumId w:val="20"/>
  </w:num>
  <w:num w:numId="15">
    <w:abstractNumId w:val="11"/>
  </w:num>
  <w:num w:numId="16">
    <w:abstractNumId w:val="10"/>
  </w:num>
  <w:num w:numId="17">
    <w:abstractNumId w:val="14"/>
  </w:num>
  <w:num w:numId="18">
    <w:abstractNumId w:val="8"/>
  </w:num>
  <w:num w:numId="19">
    <w:abstractNumId w:val="15"/>
  </w:num>
  <w:num w:numId="20">
    <w:abstractNumId w:val="17"/>
  </w:num>
  <w:num w:numId="21">
    <w:abstractNumId w:val="9"/>
  </w:num>
  <w:num w:numId="22">
    <w:abstractNumId w:val="26"/>
  </w:num>
  <w:num w:numId="23">
    <w:abstractNumId w:val="13"/>
  </w:num>
  <w:num w:numId="24">
    <w:abstractNumId w:val="22"/>
  </w:num>
  <w:num w:numId="25">
    <w:abstractNumId w:val="25"/>
  </w:num>
  <w:num w:numId="26">
    <w:abstractNumId w:val="3"/>
  </w:num>
  <w:num w:numId="27">
    <w:abstractNumId w:val="2"/>
  </w:num>
  <w:num w:numId="28">
    <w:abstractNumId w:val="4"/>
  </w:num>
  <w:num w:numId="29">
    <w:abstractNumId w:val="5"/>
  </w:num>
  <w:num w:numId="30">
    <w:abstractNumId w:val="21"/>
  </w:num>
  <w:num w:numId="31">
    <w:abstractNumId w:val="12"/>
  </w:num>
  <w:num w:numId="32">
    <w:abstractNumId w:val="31"/>
  </w:num>
  <w:num w:numId="33">
    <w:abstractNumId w:val="7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5D2"/>
    <w:rsid w:val="001865FB"/>
    <w:rsid w:val="001F45D2"/>
    <w:rsid w:val="002F3A22"/>
    <w:rsid w:val="008328A7"/>
    <w:rsid w:val="009872F9"/>
    <w:rsid w:val="00A7660F"/>
    <w:rsid w:val="00D233F9"/>
    <w:rsid w:val="00D94EA9"/>
    <w:rsid w:val="00E37178"/>
    <w:rsid w:val="00F6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5D2"/>
    <w:pPr>
      <w:ind w:left="720"/>
      <w:contextualSpacing/>
    </w:pPr>
    <w:rPr>
      <w:lang w:val="en-US"/>
    </w:rPr>
  </w:style>
  <w:style w:type="character" w:customStyle="1" w:styleId="a4">
    <w:name w:val="Основной текст Знак"/>
    <w:link w:val="a5"/>
    <w:rsid w:val="001F45D2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1F45D2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5"/>
    <w:uiPriority w:val="99"/>
    <w:semiHidden/>
    <w:rsid w:val="001F45D2"/>
  </w:style>
  <w:style w:type="character" w:styleId="a6">
    <w:name w:val="Hyperlink"/>
    <w:basedOn w:val="a0"/>
    <w:uiPriority w:val="99"/>
    <w:unhideWhenUsed/>
    <w:rsid w:val="001F45D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3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1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6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F9"/>
  </w:style>
  <w:style w:type="paragraph" w:styleId="ab">
    <w:name w:val="footer"/>
    <w:basedOn w:val="a"/>
    <w:link w:val="ac"/>
    <w:uiPriority w:val="99"/>
    <w:unhideWhenUsed/>
    <w:rsid w:val="00D233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E007A"/>
    <w:rsid w:val="005E007A"/>
    <w:rsid w:val="0080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946F2C189F403586428B315A0E7AA6">
    <w:name w:val="04946F2C189F403586428B315A0E7AA6"/>
    <w:rsid w:val="005E00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7356</Words>
  <Characters>4194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2020-10-13T19:37:00Z</dcterms:created>
  <dcterms:modified xsi:type="dcterms:W3CDTF">2020-10-13T20:47:00Z</dcterms:modified>
</cp:coreProperties>
</file>