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2" w:rsidRPr="007E5B91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C04">
        <w:rPr>
          <w:rFonts w:ascii="Times New Roman" w:hAnsi="Times New Roman" w:cs="Times New Roman"/>
          <w:b/>
          <w:bCs/>
          <w:sz w:val="28"/>
          <w:szCs w:val="28"/>
        </w:rPr>
        <w:t>Лекція 1</w:t>
      </w:r>
      <w:r w:rsidR="007E5B91" w:rsidRPr="00543C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3C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0AD5" w:rsidRPr="00543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B91" w:rsidRPr="00543C0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Базові поняття та основні принципи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(overloading)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Перевантажені функції – це функції з одним й тим же ім'ям,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r w:rsidR="009613C5" w:rsidRPr="007E5B91">
        <w:rPr>
          <w:rFonts w:ascii="Times New Roman" w:hAnsi="Times New Roman" w:cs="Times New Roman"/>
          <w:sz w:val="28"/>
          <w:szCs w:val="28"/>
        </w:rPr>
        <w:t>ів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 повертаємого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 f(int, int, int);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допускається перевантаження функцій із співпадаючими списками параметрів лише на основі типу повертаємих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  char *ptr;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*s)  та  void setval ( ptr s)</w:t>
      </w:r>
    </w:p>
    <w:p w:rsid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140782" w:rsidRPr="00BB766C" w:rsidRDefault="00140782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 детально про </w:t>
      </w: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лекції.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еnum-типи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setval(char pz);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*ptr);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Але це стосується тільки одномірних масивів. Для багатомірних масивів друга, третя,.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E765E4" w:rsidRDefault="00E765E4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тип_значення_що_повертається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1227C"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r w:rsidRPr="00E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символ_операції(параметри)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Наприклад, операторна функція, що перевантажує операцію +, називається operator+().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(тернарний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розіменованого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sizeof, typeid, static_cast,  dynamic_cast,  const_cast  і  reinterpret_cast.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Pr="00E765E4" w:rsidRDefault="00035A22" w:rsidP="00E76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  <w:r w:rsidR="00E765E4" w:rsidRPr="00E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5E4" w:rsidRDefault="00E7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lastRenderedPageBreak/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</w:t>
      </w:r>
      <w:r w:rsidR="009F48E1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F1227C">
        <w:rPr>
          <w:rFonts w:ascii="Times New Roman" w:hAnsi="Times New Roman" w:cs="Times New Roman"/>
          <w:bCs/>
          <w:sz w:val="28"/>
          <w:szCs w:val="28"/>
        </w:rPr>
        <w:t>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9F48E1" w:rsidRPr="009F48E1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>тет 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вантажуваних операцій. 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Змінити пріоритет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9F48E1">
        <w:rPr>
          <w:rFonts w:ascii="Times New Roman" w:hAnsi="Times New Roman" w:cs="Times New Roman"/>
          <w:bCs/>
          <w:sz w:val="28"/>
          <w:szCs w:val="28"/>
        </w:rPr>
        <w:t>е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вантажуваних операцій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дужок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()</w:t>
      </w:r>
      <w:r w:rsidR="009F48E1">
        <w:rPr>
          <w:rFonts w:ascii="Times New Roman" w:hAnsi="Times New Roman" w:cs="Times New Roman"/>
          <w:bCs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Унарна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операнд,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унарні.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9F48E1" w:rsidRPr="00F1227C" w:rsidRDefault="009F48E1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Перевантажувати можна лише тільки існуючі операції, створювати нові операції не можна.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Перевантаження унарних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унарними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унарних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&amp;, ~ </w:t>
      </w:r>
      <w:r w:rsidR="00C70F0F" w:rsidRPr="00C70F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A1785">
        <w:rPr>
          <w:rFonts w:ascii="Times New Roman" w:hAnsi="Times New Roman" w:cs="Times New Roman"/>
          <w:sz w:val="28"/>
          <w:szCs w:val="28"/>
        </w:rPr>
        <w:t xml:space="preserve">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унарний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this.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C70F0F" w:rsidRDefault="00C70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Можуть приймати і повертати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об’єкти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Якщо операція повертає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унарні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C70F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-&gt;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Постфіксний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*-&gt;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5B91">
        <w:rPr>
          <w:rFonts w:ascii="Times New Roman" w:hAnsi="Times New Roman" w:cs="Times New Roman"/>
          <w:b/>
          <w:bCs/>
          <w:sz w:val="28"/>
          <w:szCs w:val="28"/>
        </w:rPr>
        <w:t xml:space="preserve">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 xml:space="preserve">тип індексу може не збігатися з типом, що повертається посиланням;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посилання, що повертається не обов'язково повин</w:t>
      </w:r>
      <w:r w:rsidRPr="00B41F13">
        <w:rPr>
          <w:bCs/>
          <w:sz w:val="28"/>
          <w:szCs w:val="28"/>
        </w:rPr>
        <w:t>н</w:t>
      </w:r>
      <w:r w:rsidRPr="00B41F13">
        <w:rPr>
          <w:rFonts w:eastAsiaTheme="minorEastAsia"/>
          <w:bCs/>
          <w:sz w:val="28"/>
          <w:szCs w:val="28"/>
        </w:rPr>
        <w:t xml:space="preserve">о бути типом поточного класу;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lastRenderedPageBreak/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 const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Розглянемо приклад</w:t>
      </w:r>
      <w:r w:rsidR="0067159F">
        <w:rPr>
          <w:rFonts w:ascii="Times New Roman" w:hAnsi="Times New Roman" w:cs="Times New Roman"/>
          <w:sz w:val="28"/>
          <w:szCs w:val="28"/>
        </w:rPr>
        <w:t>и</w:t>
      </w:r>
      <w:r w:rsidRPr="00C104F2">
        <w:rPr>
          <w:rFonts w:ascii="Times New Roman" w:hAnsi="Times New Roman" w:cs="Times New Roman"/>
          <w:sz w:val="28"/>
          <w:szCs w:val="28"/>
        </w:rPr>
        <w:t xml:space="preserve"> перевантаження операторів.</w:t>
      </w:r>
    </w:p>
    <w:p w:rsidR="00AA6021" w:rsidRPr="00C104F2" w:rsidRDefault="0067159F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159F">
        <w:rPr>
          <w:rFonts w:ascii="Times New Roman" w:hAnsi="Times New Roman" w:cs="Times New Roman"/>
          <w:b/>
          <w:sz w:val="28"/>
          <w:szCs w:val="28"/>
        </w:rPr>
        <w:t>Приклад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21"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r w:rsidR="00AA6021"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r w:rsidR="00AA6021"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&lt;iostream&gt;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&lt;string.h&gt;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&lt;locale.h&gt;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&lt;Windows.h&gt;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using namespace std;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class strings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public: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strings(char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+(char *);</w:t>
      </w:r>
      <w:r w:rsidR="00DF1734">
        <w:rPr>
          <w:rFonts w:ascii="Courier New" w:hAnsi="Courier New" w:cs="Courier New"/>
          <w:sz w:val="28"/>
          <w:szCs w:val="28"/>
        </w:rPr>
        <w:t>//конкатенація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-(char);</w:t>
      </w:r>
      <w:r w:rsidR="00DF1734">
        <w:rPr>
          <w:rFonts w:ascii="Courier New" w:hAnsi="Courier New" w:cs="Courier New"/>
          <w:sz w:val="28"/>
          <w:szCs w:val="28"/>
        </w:rPr>
        <w:t>//вилучення символу з тексту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show_string(void);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private: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char data[256]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strings::strings(char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str);</w:t>
      </w:r>
      <w:r w:rsidR="005E072A">
        <w:rPr>
          <w:rFonts w:ascii="Courier New" w:hAnsi="Courier New" w:cs="Courier New"/>
          <w:sz w:val="28"/>
          <w:szCs w:val="28"/>
        </w:rPr>
        <w:t xml:space="preserve"> // копіювання рядка в інший рядок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+(char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strcat(data, str);</w:t>
      </w:r>
      <w:r w:rsidR="005E072A">
        <w:rPr>
          <w:rFonts w:ascii="Courier New" w:hAnsi="Courier New" w:cs="Courier New"/>
          <w:sz w:val="28"/>
          <w:szCs w:val="28"/>
        </w:rPr>
        <w:t xml:space="preserve"> // </w:t>
      </w:r>
      <w:r w:rsidR="005E072A" w:rsidRPr="005E072A">
        <w:rPr>
          <w:rFonts w:ascii="Courier New" w:hAnsi="Courier New" w:cs="Courier New"/>
          <w:sz w:val="28"/>
          <w:szCs w:val="28"/>
        </w:rPr>
        <w:t>Об'єднання рядків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-(char letter){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char temp[256]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int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for (i = 0, j = 0; data[i];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if (data[i]</w:t>
      </w:r>
      <w:r w:rsidR="00DF1734">
        <w:rPr>
          <w:rFonts w:ascii="Courier New" w:hAnsi="Courier New" w:cs="Courier New"/>
          <w:sz w:val="28"/>
          <w:szCs w:val="28"/>
        </w:rPr>
        <w:t>!</w:t>
      </w:r>
      <w:r w:rsidRPr="000A1785">
        <w:rPr>
          <w:rFonts w:ascii="Courier New" w:hAnsi="Courier New" w:cs="Courier New"/>
          <w:sz w:val="28"/>
          <w:szCs w:val="28"/>
        </w:rPr>
        <w:t>=letter) temp[j++] = data[i];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temp[j]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temp);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strings::show_string(void){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cout &lt;&lt; "\n\t"&lt;&lt;data &lt;&lt; endl;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main(void){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system("color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title( "\n\tbegin try to reload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lesson("\n\tover</w:t>
      </w:r>
      <w:r w:rsidR="00DF1734">
        <w:rPr>
          <w:rFonts w:ascii="Courier New" w:hAnsi="Courier New" w:cs="Courier New"/>
          <w:sz w:val="28"/>
          <w:szCs w:val="28"/>
        </w:rPr>
        <w:t>***</w:t>
      </w:r>
      <w:r w:rsidRPr="000A1785">
        <w:rPr>
          <w:rFonts w:ascii="Courier New" w:hAnsi="Courier New" w:cs="Courier New"/>
          <w:sz w:val="28"/>
          <w:szCs w:val="28"/>
        </w:rPr>
        <w:t>loading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lastRenderedPageBreak/>
        <w:t xml:space="preserve">   title.show_string();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 + " I try overload too!";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title.show_string()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  -'*';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system("pause");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DF1734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659880" cy="3390484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9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67159F">
      <w:pPr>
        <w:pStyle w:val="5"/>
        <w:spacing w:before="0" w:beforeAutospacing="0" w:after="0" w:afterAutospacing="0"/>
        <w:rPr>
          <w:sz w:val="28"/>
          <w:szCs w:val="28"/>
        </w:rPr>
      </w:pPr>
      <w:r w:rsidRPr="0067159F">
        <w:rPr>
          <w:noProof/>
          <w:sz w:val="28"/>
          <w:szCs w:val="28"/>
        </w:rPr>
        <w:t xml:space="preserve">Приклад 2. </w:t>
      </w:r>
      <w:r w:rsidRPr="0067159F">
        <w:rPr>
          <w:sz w:val="28"/>
          <w:szCs w:val="28"/>
        </w:rPr>
        <w:t>Приклад перевантаження унарних та бінарних операторів для класу, який містить одиночні дані. Операторна функція реалізована всередині класу</w:t>
      </w:r>
    </w:p>
    <w:p w:rsidR="0067159F" w:rsidRPr="00D13238" w:rsidRDefault="0067159F" w:rsidP="0067159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Оголошується клас Point, що реалізує точку на координатній площині. У класі реалізовано: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 внутрішні змінні x, y, що є координатами точки;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конструктори класу;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доступу до внутрішніх змінних класу GetX(), GetY(), SetX(), SetY();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операторні функції operator+() та operator-(). Операторна функція operator+() перевантажує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operator-() перевантажує унарний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‘-‘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 &lt;iostream&gt;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&lt;Windows.h&gt;</w:t>
      </w:r>
    </w:p>
    <w:p w:rsidR="00877C62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class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Клас, що реалізує точку на координатній площині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 містить дві операторні функції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private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координати точки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конструктори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y = 0;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nx,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nx;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y = ny;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методи доступу до членів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nx) { x = nx;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 { y = ny;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бінарний оператор '+'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+(Point pt)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p - тимчасовий об'єкт, який створюється з допомогою</w:t>
      </w:r>
    </w:p>
    <w:p w:rsidR="0067159F" w:rsidRPr="0067159F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</w:t>
      </w:r>
      <w:r w:rsidR="0067159F"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конструктора без параметрів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x + pt.x;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y + pt.y;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унарний оператор '-'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-(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-x;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-y;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67159F" w:rsidRPr="00D13238" w:rsidRDefault="0067159F" w:rsidP="006715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вищенаведеного коду, операторна функція operator+() отримує один параметр. Це означає, що ця функція реалізує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Цей параметр відповідає операнду, що розміщується у правій частині бінарного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Операнд, що розміщується в лівій частині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передається операторній функції неявно з допомогою покажчика this цього класу.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операторної функції здійснює об’єкт, який розміщується в лівій частині оператора присвоювання.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Демонстрація використання перевантажених операторів класу Point в іншому методі: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int main()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{system("color F0");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оголошення змінних - об'єктів класу CPoint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P1(3,4);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P2(5,7);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P3;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додаткові змінні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1. Використання перевантаженого бінарного оператора '+'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P3 = P1 + P2;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об'єкт P1 викликає операторну функцію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перевірка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8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11</w:t>
      </w:r>
    </w:p>
    <w:p w:rsidR="0067159F" w:rsidRPr="00A06804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cout &lt;&lt; "x="&lt;&lt; x &lt;&lt; " y="&lt;&lt; y &lt;&lt; endl;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2. Використання перевантаженого унарного оператора '-'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P3 = -P2;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-5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-7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return 0;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A068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вищенаведеному коді в операції додавання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P1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операторну функцію. Тобто фрагмент рядка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 + P2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замінюється викликом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P1.operator+(P2)</w:t>
      </w:r>
    </w:p>
    <w:p w:rsidR="0067159F" w:rsidRPr="00D13238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Реалізувати операторну функцію operator+() в класі можна й по іншому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 operator+(Point pt)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   // виклик конструктора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Point(x+pt.x, y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+pt.y);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створюється тимчасовий об'єкт, який потім копіюється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вищенаведеній функції в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операторі return створюється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тимчасовий об’єкт шляхом виклику конструктора з двома параметрами, який реалізований в класі. Якщо (у даному випадку) з тіла класу забрати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Point(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int nx, int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...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D13238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вищенаведений варіант функції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operator+() працювати не буде, тому що для створення об’єкту типу Point ця функція використовує конструктор з двома параметрами. У цьому випадку компілятор видасть повідомлення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Point::Point : no overloaded function takes 2 arguments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означає: немає методу (конструктора) Point::Point()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який приймає 2 аргументи.</w:t>
      </w:r>
    </w:p>
    <w:p w:rsidR="00A06804" w:rsidRPr="00A06804" w:rsidRDefault="00A06804" w:rsidP="00A06804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noProof/>
          <w:sz w:val="28"/>
          <w:szCs w:val="28"/>
        </w:rPr>
        <w:t>Приклад 3.</w:t>
      </w:r>
      <w:r w:rsidRPr="00A06804">
        <w:rPr>
          <w:sz w:val="28"/>
          <w:szCs w:val="28"/>
        </w:rPr>
        <w:t xml:space="preserve"> Приклад перевантаження оператора </w:t>
      </w:r>
      <w:r w:rsidRPr="00A06804">
        <w:rPr>
          <w:color w:val="0000FF"/>
          <w:sz w:val="28"/>
          <w:szCs w:val="28"/>
        </w:rPr>
        <w:t>‘*’</w:t>
      </w:r>
      <w:r w:rsidRPr="00A06804">
        <w:rPr>
          <w:sz w:val="28"/>
          <w:szCs w:val="28"/>
        </w:rPr>
        <w:t>, що обробляє клас, який містить масив дійсних чисел. Операторна функція реалізована всередині класу</w:t>
      </w:r>
    </w:p>
    <w:p w:rsidR="00A06804" w:rsidRDefault="00A06804" w:rsidP="00A0680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sz w:val="28"/>
          <w:szCs w:val="28"/>
        </w:rPr>
        <w:t xml:space="preserve">У прикладі реалізується операторна функція </w:t>
      </w:r>
      <w:r w:rsidRPr="00D13238">
        <w:rPr>
          <w:sz w:val="28"/>
          <w:szCs w:val="28"/>
        </w:rPr>
        <w:t>operator*(), яка множить поелементно значення внутрішніх масивів об’єктів класу ArrayFloat.</w:t>
      </w:r>
      <w:r w:rsidRPr="00A06804">
        <w:rPr>
          <w:sz w:val="28"/>
          <w:szCs w:val="28"/>
        </w:rPr>
        <w:t xml:space="preserve"> Якщо розмір </w:t>
      </w:r>
      <w:r w:rsidRPr="00A06804">
        <w:rPr>
          <w:sz w:val="28"/>
          <w:szCs w:val="28"/>
        </w:rPr>
        <w:lastRenderedPageBreak/>
        <w:t>масивів неоднаковий, то перемножується тільки та кількість елементів, яка є мінімальною між двома розмірами масивів.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sz w:val="28"/>
          <w:szCs w:val="28"/>
        </w:rPr>
        <w:t>#</w:t>
      </w:r>
      <w:r w:rsidRPr="00A06804">
        <w:rPr>
          <w:rFonts w:ascii="Courier New" w:hAnsi="Courier New" w:cs="Courier New"/>
          <w:sz w:val="28"/>
          <w:szCs w:val="28"/>
        </w:rPr>
        <w:t>include &lt;iostream&gt;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#include &lt;Windows.h&gt;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using namespace std;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масив дійсних чисел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class</w:t>
      </w:r>
      <w:r w:rsidRPr="00A06804">
        <w:rPr>
          <w:sz w:val="28"/>
          <w:szCs w:val="28"/>
        </w:rPr>
        <w:t xml:space="preserve">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private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A[10]; </w:t>
      </w:r>
      <w:r w:rsidRPr="00A06804">
        <w:rPr>
          <w:color w:val="008000"/>
          <w:sz w:val="28"/>
          <w:szCs w:val="28"/>
        </w:rPr>
        <w:t>// масив дійсних чисел, фіксований розмір масиву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public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8000"/>
          <w:sz w:val="28"/>
          <w:szCs w:val="28"/>
        </w:rPr>
        <w:t>// конструктори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nsize,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nA[])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nsize;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i&lt;nsize;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nA[i];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методи доступу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GetAi(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void</w:t>
      </w:r>
      <w:r w:rsidRPr="00A06804">
        <w:rPr>
          <w:sz w:val="28"/>
          <w:szCs w:val="28"/>
        </w:rPr>
        <w:t xml:space="preserve"> SetAi(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value)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value;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перевантажений оператор '*'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 </w:t>
      </w:r>
      <w:r w:rsidRPr="00A06804">
        <w:rPr>
          <w:color w:val="0000FF"/>
          <w:sz w:val="28"/>
          <w:szCs w:val="28"/>
        </w:rPr>
        <w:t>operator</w:t>
      </w:r>
      <w:r w:rsidRPr="00A06804">
        <w:rPr>
          <w:sz w:val="28"/>
          <w:szCs w:val="28"/>
        </w:rPr>
        <w:t>*(ArrayFloat AF)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ArrayFloat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(size</w:t>
      </w:r>
      <w:r w:rsidR="00B74626">
        <w:rPr>
          <w:sz w:val="28"/>
          <w:szCs w:val="28"/>
          <w:lang w:val="en-US"/>
        </w:rPr>
        <w:t>&gt;</w:t>
      </w:r>
      <w:r w:rsidRPr="00A06804">
        <w:rPr>
          <w:sz w:val="28"/>
          <w:szCs w:val="28"/>
        </w:rPr>
        <w:t>AF.size)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AF.size;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tmp.A[i] = A[i] * AF.A[i];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tmp.size =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lastRenderedPageBreak/>
        <w:t xml:space="preserve">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};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int main()</w:t>
      </w:r>
    </w:p>
    <w:p w:rsidR="0067159F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{system("color F0");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додаткові змінні та масиви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x, y;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AF1[] = { 2, 5, 7, 9, 12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AF2[] = { 3, 4, 9, 8, 10, 13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створити об'єкти класу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A1(5, AF1);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A2(6, AF2);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A3;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виклик операторної функції operator*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A3 = A1 * A2; </w:t>
      </w:r>
      <w:r w:rsidRPr="00A06804">
        <w:rPr>
          <w:color w:val="008000"/>
          <w:sz w:val="28"/>
          <w:szCs w:val="28"/>
        </w:rPr>
        <w:t>// здійснюється поелементне множення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перевірка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A3.GetAi(0); </w:t>
      </w:r>
      <w:r w:rsidRPr="00A06804">
        <w:rPr>
          <w:color w:val="008000"/>
          <w:sz w:val="28"/>
          <w:szCs w:val="28"/>
        </w:rPr>
        <w:t>// x = 6</w:t>
      </w:r>
    </w:p>
    <w:p w:rsidR="00A06804" w:rsidRPr="00A06804" w:rsidRDefault="00A06804" w:rsidP="00A06804">
      <w:pPr>
        <w:pStyle w:val="HTML"/>
        <w:rPr>
          <w:color w:val="008000"/>
          <w:sz w:val="28"/>
          <w:szCs w:val="28"/>
        </w:rPr>
      </w:pPr>
      <w:r w:rsidRPr="00A06804">
        <w:rPr>
          <w:sz w:val="28"/>
          <w:szCs w:val="28"/>
        </w:rPr>
        <w:t xml:space="preserve">y = A3.GetAi(1); </w:t>
      </w:r>
      <w:r w:rsidRPr="00A06804">
        <w:rPr>
          <w:color w:val="008000"/>
          <w:sz w:val="28"/>
          <w:szCs w:val="28"/>
        </w:rPr>
        <w:t>// y = 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A3.GetAi(2); </w:t>
      </w:r>
      <w:r w:rsidRPr="00A06804">
        <w:rPr>
          <w:color w:val="008000"/>
          <w:sz w:val="28"/>
          <w:szCs w:val="28"/>
        </w:rPr>
        <w:t>// x = 63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y = A3.GetAi(4); </w:t>
      </w:r>
      <w:r w:rsidRPr="00A06804">
        <w:rPr>
          <w:color w:val="008000"/>
          <w:sz w:val="28"/>
          <w:szCs w:val="28"/>
        </w:rPr>
        <w:t>// y = 120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return 0;</w:t>
      </w:r>
    </w:p>
    <w:p w:rsid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A06804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428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04" w:rsidRPr="0067159F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  <w:bookmarkStart w:id="0" w:name="_GoBack"/>
      <w:bookmarkEnd w:id="0"/>
    </w:p>
    <w:p w:rsidR="00140782" w:rsidRDefault="00140782" w:rsidP="00543C04">
      <w:pPr>
        <w:pStyle w:val="a9"/>
        <w:ind w:left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Додаткова інформація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40782">
        <w:rPr>
          <w:rFonts w:ascii="Times New Roman" w:hAnsi="Times New Roman" w:cs="Times New Roman"/>
          <w:b/>
          <w:bCs/>
          <w:sz w:val="28"/>
          <w:szCs w:val="28"/>
        </w:rPr>
        <w:t>typedef</w:t>
      </w:r>
      <w:r w:rsidRPr="00140782">
        <w:rPr>
          <w:rFonts w:ascii="Times New Roman" w:hAnsi="Times New Roman" w:cs="Times New Roman"/>
          <w:sz w:val="28"/>
          <w:szCs w:val="28"/>
        </w:rPr>
        <w:t xml:space="preserve"> дозволяє перейменувати один з існуючих типів даних. На перший погляд, це зовсім зайве.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Як правило, це роблять, щоб полегшити подальшу модифікацію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програми. Наприклад, деяка програма виконує обчислення з числами типу float. У якійсь ситуації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знадобитися більш точні обчислення. Якщо не використовувати перейменування типу, прийдеться пройтися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всій програмі і замінити float на double. А от якщо в програмі тип float був перейменований, то його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псевдонім, скажемо real, стає деяким параметром, якому можна знову перевизначити. Для того щоб 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до обчислень з підвищеною точністю, досить змінити лише один оператор: замість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float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написати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lastRenderedPageBreak/>
        <w:t>Тоді програма при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40782">
        <w:rPr>
          <w:rFonts w:ascii="Times New Roman" w:hAnsi="Times New Roman" w:cs="Times New Roman"/>
          <w:sz w:val="28"/>
          <w:szCs w:val="28"/>
        </w:rPr>
        <w:t>ме наступний вид.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0782">
        <w:rPr>
          <w:rFonts w:ascii="Times New Roman" w:hAnsi="Times New Roman" w:cs="Times New Roman"/>
          <w:sz w:val="28"/>
          <w:szCs w:val="28"/>
          <w:u w:val="single"/>
        </w:rPr>
        <w:t>Перейменування типу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Ця програма дуже підступна. Значення змінних a і b лежать у припустимому діапазоні типу double,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їхній добуток виходить за його межі. Однак у мові С++ такі ситуації за замовчуванням не відслідковуються.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Програма без коливань виводить на екран невірну відповідь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1.127201e-231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Зовсім очевидно, що нам необхідно розширити діапазон, задавши тип long double. У приведеному вище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прикладі для цього досить замінити оператор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оператором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Тепер відповідь буде вірною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1.0e+500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Звичайно, у такій короткій програмі застосування оператора typedef не занадто помітно, однак у великій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програмі, що складається з багатьох файлів, він дозволяє уникнути стомлюючої перевірки і заміни оголошень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змінних типу double на змінні типу long double.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мати на увазі, що оператор typedef не створює новий тип, він просто створює псевдонім існуючого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типу. До речі, це перейменування діє в межах усієї програми. Інакше кажучи, один тип можна перейменувати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тільки один раз.</w:t>
      </w:r>
    </w:p>
    <w:p w:rsidR="00140782" w:rsidRPr="00140782" w:rsidRDefault="00140782" w:rsidP="00140782">
      <w:pPr>
        <w:pStyle w:val="a9"/>
        <w:ind w:left="0"/>
        <w:jc w:val="both"/>
        <w:rPr>
          <w:sz w:val="28"/>
          <w:szCs w:val="28"/>
        </w:rPr>
      </w:pPr>
      <w:r w:rsidRPr="00140782">
        <w:rPr>
          <w:sz w:val="28"/>
          <w:szCs w:val="28"/>
        </w:rPr>
        <w:t>Розглянемо приклад.</w:t>
      </w:r>
      <w:r>
        <w:rPr>
          <w:sz w:val="28"/>
          <w:szCs w:val="28"/>
          <w:lang w:val="uk-UA"/>
        </w:rPr>
        <w:t xml:space="preserve"> </w:t>
      </w:r>
      <w:r w:rsidRPr="00140782">
        <w:rPr>
          <w:sz w:val="28"/>
          <w:szCs w:val="28"/>
          <w:u w:val="single"/>
          <w:lang w:val="uk-UA"/>
        </w:rPr>
        <w:t>Повторне перейменування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 // Помилка! Повторне перейменування!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d=1.0e300, e=1.0e200, f=d*e;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f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той же час використання псевдоніму не забороняє застосування вихідного імені типу.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  <w:u w:val="single"/>
        </w:rPr>
        <w:t>Застосування псевдоніма і старого імені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#</w:t>
      </w:r>
      <w:r w:rsidRPr="00140782">
        <w:rPr>
          <w:rFonts w:ascii="Courier New" w:hAnsi="Courier New" w:cs="Courier New"/>
          <w:b/>
          <w:sz w:val="28"/>
          <w:szCs w:val="28"/>
        </w:rPr>
        <w:t>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a=1.0e400, b=1.0e500,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long double d;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lastRenderedPageBreak/>
        <w:t>d=c*c;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d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результаті обчислень на екран будуть виведені числа.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1.0e+900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1.0e+1800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Оператор typedef дуже часто зустрічається в заголовних файлах. Він забезпечує машинну незалежність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програм. Зокрема, саме за допомогою оператора typedef визначені типи wchar_t і size_t.</w:t>
      </w:r>
    </w:p>
    <w:p w:rsidR="00543C04" w:rsidRPr="000D20AF" w:rsidRDefault="00543C04" w:rsidP="00543C04">
      <w:pPr>
        <w:pStyle w:val="a9"/>
        <w:ind w:left="0"/>
        <w:jc w:val="both"/>
        <w:rPr>
          <w:b/>
          <w:sz w:val="28"/>
          <w:szCs w:val="28"/>
        </w:rPr>
      </w:pPr>
      <w:r w:rsidRPr="00140782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="00463DC5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0D20AF" w:rsidRPr="00463DC5">
        <w:rPr>
          <w:b/>
          <w:bCs/>
          <w:i/>
          <w:iCs/>
          <w:color w:val="000000"/>
          <w:sz w:val="28"/>
          <w:szCs w:val="28"/>
        </w:rPr>
        <w:t xml:space="preserve">для 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письмових в</w:t>
      </w:r>
      <w:r w:rsidR="000D20AF" w:rsidRPr="000D20AF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дпов</w:t>
      </w:r>
      <w:r w:rsidR="000D20AF" w:rsidRPr="000D20AF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дей (0,5</w:t>
      </w:r>
      <w:r w:rsidR="000D20AF">
        <w:rPr>
          <w:b/>
          <w:bCs/>
          <w:i/>
          <w:iCs/>
          <w:color w:val="000000"/>
          <w:sz w:val="28"/>
          <w:szCs w:val="28"/>
          <w:lang w:val="uk-UA"/>
        </w:rPr>
        <w:t xml:space="preserve"> балів за запитання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)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обмеження на перевантажені функції?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компілятор діє з перевантаженими функціями?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приклади перевантаження унарних та бінарних операторів.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hAnsi="Times New Roman" w:cs="Times New Roman"/>
          <w:sz w:val="28"/>
          <w:szCs w:val="28"/>
        </w:rPr>
        <w:t>Чи буде помилковим виклик f(1.5, 1.5); для функцій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f(int, float);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f(float, int);</w:t>
      </w:r>
    </w:p>
    <w:p w:rsidR="00260AD5" w:rsidRPr="00140782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140782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43C04" w:rsidRPr="001737C5" w:rsidRDefault="00543C04" w:rsidP="00543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3C04" w:rsidRPr="001737C5" w:rsidRDefault="00543C04" w:rsidP="00543C04">
      <w:pPr>
        <w:pStyle w:val="a9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Павловская Т.А. С/С++. Программирование на языке высокого уровня. СПб.: Питер, 2003. – 461 с. URL:  </w:t>
      </w:r>
      <w:hyperlink r:id="rId12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543C04" w:rsidRPr="00B7088E" w:rsidRDefault="00543C04" w:rsidP="00543C0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43C04" w:rsidRDefault="00543C04" w:rsidP="00543C04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3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4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pdf</w:t>
        </w:r>
      </w:hyperlink>
    </w:p>
    <w:p w:rsidR="00543C04" w:rsidRPr="002D079B" w:rsidRDefault="00543C04" w:rsidP="00543C04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543C04" w:rsidRPr="00F861D3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F861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Pr="003F17C0">
          <w:rPr>
            <w:rStyle w:val="ac"/>
            <w:sz w:val="28"/>
            <w:szCs w:val="28"/>
          </w:rPr>
          <w:t>http</w:t>
        </w:r>
        <w:r w:rsidRPr="00F861D3">
          <w:rPr>
            <w:rStyle w:val="ac"/>
            <w:sz w:val="28"/>
            <w:szCs w:val="28"/>
            <w:lang w:val="en-US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F861D3">
          <w:rPr>
            <w:rStyle w:val="ac"/>
            <w:sz w:val="28"/>
            <w:szCs w:val="28"/>
            <w:lang w:val="en-US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F861D3">
          <w:rPr>
            <w:rStyle w:val="ac"/>
            <w:sz w:val="28"/>
            <w:szCs w:val="28"/>
            <w:lang w:val="en-US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F861D3">
          <w:rPr>
            <w:rStyle w:val="ac"/>
            <w:sz w:val="28"/>
            <w:szCs w:val="28"/>
            <w:lang w:val="en-US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F861D3">
          <w:rPr>
            <w:rStyle w:val="ac"/>
            <w:sz w:val="28"/>
            <w:szCs w:val="28"/>
            <w:lang w:val="en-US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F861D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F861D3">
          <w:rPr>
            <w:rStyle w:val="ac"/>
            <w:sz w:val="28"/>
            <w:szCs w:val="28"/>
            <w:lang w:val="en-US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F861D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F861D3">
          <w:rPr>
            <w:rStyle w:val="ac"/>
            <w:sz w:val="28"/>
            <w:szCs w:val="28"/>
            <w:lang w:val="en-US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F861D3">
          <w:rPr>
            <w:rStyle w:val="ac"/>
            <w:sz w:val="28"/>
            <w:szCs w:val="28"/>
            <w:lang w:val="en-US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F861D3">
          <w:rPr>
            <w:rStyle w:val="ac"/>
            <w:sz w:val="28"/>
            <w:szCs w:val="28"/>
            <w:lang w:val="en-US"/>
          </w:rPr>
          <w:t>).</w:t>
        </w:r>
        <w:r w:rsidRPr="003F17C0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43C04" w:rsidRPr="00310567" w:rsidRDefault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543C04" w:rsidRPr="00310567" w:rsidSect="00C63922">
      <w:headerReference w:type="default" r:id="rId16"/>
      <w:footerReference w:type="default" r:id="rId17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76C" w:rsidRDefault="0080576C" w:rsidP="008E11A2">
      <w:pPr>
        <w:spacing w:after="0" w:line="240" w:lineRule="auto"/>
      </w:pPr>
      <w:r>
        <w:separator/>
      </w:r>
    </w:p>
  </w:endnote>
  <w:endnote w:type="continuationSeparator" w:id="0">
    <w:p w:rsidR="0080576C" w:rsidRDefault="0080576C" w:rsidP="008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2900325"/>
      <w:docPartObj>
        <w:docPartGallery w:val="Page Numbers (Bottom of Page)"/>
        <w:docPartUnique/>
      </w:docPartObj>
    </w:sdtPr>
    <w:sdtContent>
      <w:p w:rsidR="0067159F" w:rsidRDefault="00264AE5" w:rsidP="008E11A2">
        <w:pPr>
          <w:pStyle w:val="a5"/>
          <w:jc w:val="right"/>
        </w:pPr>
        <w:fldSimple w:instr="PAGE   \* MERGEFORMAT">
          <w:r w:rsidR="00DF1734" w:rsidRPr="00DF1734">
            <w:rPr>
              <w:noProof/>
              <w:lang w:val="ru-RU"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76C" w:rsidRDefault="0080576C" w:rsidP="008E11A2">
      <w:pPr>
        <w:spacing w:after="0" w:line="240" w:lineRule="auto"/>
      </w:pPr>
      <w:r>
        <w:separator/>
      </w:r>
    </w:p>
  </w:footnote>
  <w:footnote w:type="continuationSeparator" w:id="0">
    <w:p w:rsidR="0080576C" w:rsidRDefault="0080576C" w:rsidP="008E11A2">
      <w:pPr>
        <w:spacing w:after="0" w:line="240" w:lineRule="auto"/>
      </w:pPr>
      <w:r>
        <w:continuationSeparator/>
      </w:r>
    </w:p>
  </w:footnote>
  <w:footnote w:id="1">
    <w:p w:rsidR="0067159F" w:rsidRPr="009F48E1" w:rsidRDefault="0067159F" w:rsidP="009F48E1">
      <w:pPr>
        <w:pStyle w:val="aa"/>
        <w:spacing w:before="0" w:beforeAutospacing="0" w:after="0" w:afterAutospacing="0"/>
      </w:pPr>
      <w:r>
        <w:rPr>
          <w:rStyle w:val="af"/>
        </w:rPr>
        <w:footnoteRef/>
      </w:r>
      <w:r>
        <w:t xml:space="preserve"> </w:t>
      </w:r>
      <w:r w:rsidRPr="009F48E1">
        <w:t>Д</w:t>
      </w:r>
      <w:r>
        <w:t>о</w:t>
      </w:r>
      <w:r w:rsidRPr="009F48E1">
        <w:t xml:space="preserve"> основних типів мови C++ </w:t>
      </w:r>
      <w:r>
        <w:t>відносяться</w:t>
      </w:r>
      <w:r w:rsidRPr="009F48E1">
        <w:t xml:space="preserve">: 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(цілий);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(символьний);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bool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(логічний);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float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double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 з подвійною точністю);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void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(порожній, не має значення).</w:t>
      </w:r>
    </w:p>
    <w:p w:rsidR="0067159F" w:rsidRDefault="0067159F">
      <w:pPr>
        <w:pStyle w:val="a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9F" w:rsidRPr="008E11A2" w:rsidRDefault="0067159F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7E5B91">
      <w:rPr>
        <w:rFonts w:ascii="Times New Roman" w:hAnsi="Times New Roman" w:cs="Times New Roman"/>
        <w:bCs/>
        <w:sz w:val="24"/>
        <w:szCs w:val="24"/>
      </w:rPr>
      <w:t xml:space="preserve">Лекція 17. </w:t>
    </w:r>
    <w:r w:rsidRPr="007E5B91">
      <w:rPr>
        <w:rFonts w:ascii="Times New Roman" w:hAnsi="Times New Roman" w:cs="Times New Roman"/>
        <w:sz w:val="24"/>
        <w:szCs w:val="24"/>
      </w:rPr>
      <w:t>Перевантаження функцій та операторів. Базові поняття та основні принципи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49B4"/>
    <w:multiLevelType w:val="multilevel"/>
    <w:tmpl w:val="73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B076C"/>
    <w:multiLevelType w:val="multilevel"/>
    <w:tmpl w:val="D29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1A2"/>
    <w:rsid w:val="0000718D"/>
    <w:rsid w:val="00035A22"/>
    <w:rsid w:val="000779BD"/>
    <w:rsid w:val="000A1785"/>
    <w:rsid w:val="000D20AF"/>
    <w:rsid w:val="00140782"/>
    <w:rsid w:val="00231497"/>
    <w:rsid w:val="00237A77"/>
    <w:rsid w:val="00242C53"/>
    <w:rsid w:val="00242D81"/>
    <w:rsid w:val="00260AD5"/>
    <w:rsid w:val="00264AE5"/>
    <w:rsid w:val="00310567"/>
    <w:rsid w:val="003A0C7F"/>
    <w:rsid w:val="00452226"/>
    <w:rsid w:val="004569D2"/>
    <w:rsid w:val="00463DC5"/>
    <w:rsid w:val="00505DC4"/>
    <w:rsid w:val="00543C04"/>
    <w:rsid w:val="005912E1"/>
    <w:rsid w:val="005E072A"/>
    <w:rsid w:val="006373EC"/>
    <w:rsid w:val="0067159F"/>
    <w:rsid w:val="007E5B91"/>
    <w:rsid w:val="0080576C"/>
    <w:rsid w:val="00877C62"/>
    <w:rsid w:val="008E11A2"/>
    <w:rsid w:val="008F64EE"/>
    <w:rsid w:val="008F65FC"/>
    <w:rsid w:val="009613C5"/>
    <w:rsid w:val="00965C26"/>
    <w:rsid w:val="009B6E66"/>
    <w:rsid w:val="009F48E1"/>
    <w:rsid w:val="00A06804"/>
    <w:rsid w:val="00A53E43"/>
    <w:rsid w:val="00AA377F"/>
    <w:rsid w:val="00AA6021"/>
    <w:rsid w:val="00B10348"/>
    <w:rsid w:val="00B17994"/>
    <w:rsid w:val="00B41F13"/>
    <w:rsid w:val="00B74626"/>
    <w:rsid w:val="00BB766C"/>
    <w:rsid w:val="00C104F2"/>
    <w:rsid w:val="00C3636A"/>
    <w:rsid w:val="00C63922"/>
    <w:rsid w:val="00C70F0F"/>
    <w:rsid w:val="00D13238"/>
    <w:rsid w:val="00DF1734"/>
    <w:rsid w:val="00E108F7"/>
    <w:rsid w:val="00E765E4"/>
    <w:rsid w:val="00F0196F"/>
    <w:rsid w:val="00F1227C"/>
    <w:rsid w:val="00F861D3"/>
    <w:rsid w:val="00FC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48"/>
  </w:style>
  <w:style w:type="paragraph" w:styleId="5">
    <w:name w:val="heading 5"/>
    <w:basedOn w:val="a"/>
    <w:link w:val="50"/>
    <w:uiPriority w:val="9"/>
    <w:qFormat/>
    <w:rsid w:val="006715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  <w:style w:type="character" w:styleId="ac">
    <w:name w:val="Hyperlink"/>
    <w:basedOn w:val="a0"/>
    <w:uiPriority w:val="99"/>
    <w:unhideWhenUsed/>
    <w:rsid w:val="00543C04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543C0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54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543C04"/>
  </w:style>
  <w:style w:type="paragraph" w:styleId="ad">
    <w:name w:val="footnote text"/>
    <w:basedOn w:val="a"/>
    <w:link w:val="ae"/>
    <w:uiPriority w:val="99"/>
    <w:semiHidden/>
    <w:unhideWhenUsed/>
    <w:rsid w:val="009F48E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F48E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F48E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715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f0">
    <w:name w:val="Strong"/>
    <w:basedOn w:val="a0"/>
    <w:uiPriority w:val="22"/>
    <w:qFormat/>
    <w:rsid w:val="00671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9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648C-D45F-4455-B6E1-77D119C0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13086</Words>
  <Characters>7460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2022-10-18T16:06:00Z</dcterms:created>
  <dcterms:modified xsi:type="dcterms:W3CDTF">2022-10-19T09:03:00Z</dcterms:modified>
</cp:coreProperties>
</file>