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 №07-2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Процес тестування програмного забезпечення. Підготовка тестів для перевірки ПЗ (аналіз функцій).</w:t>
      </w:r>
    </w:p>
    <w:p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</w:rPr>
        <w:t xml:space="preserve">Мета: </w:t>
      </w:r>
      <w:r>
        <w:rPr>
          <w:rFonts w:ascii="Times New Roman" w:eastAsia="Calibri" w:hAnsi="Times New Roman" w:cs="Times New Roman"/>
          <w:sz w:val="28"/>
          <w:szCs w:val="28"/>
        </w:rPr>
        <w:t>Навчиться готувати тести для</w:t>
      </w:r>
      <w:r>
        <w:rPr>
          <w:rFonts w:ascii="Times New Roman" w:hAnsi="Times New Roman" w:cs="Times New Roman"/>
          <w:sz w:val="28"/>
          <w:szCs w:val="28"/>
        </w:rPr>
        <w:t xml:space="preserve"> перевірки програмного забезпечення.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Провести розподіл  функцій власного проекту на основні та другорядні із визначенням критерію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віднесення (див. Табл.1) та області можливої нестійкості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продукту.</w:t>
      </w:r>
    </w:p>
    <w:p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</w:p>
    <w:p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практичної роботи.</w:t>
      </w:r>
    </w:p>
    <w:p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Прізвище, група</w:t>
      </w:r>
    </w:p>
    <w:p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проекту.</w:t>
      </w:r>
    </w:p>
    <w:p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Результати роботи оформлюються у вигляді таблиці: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94"/>
        <w:gridCol w:w="940"/>
        <w:gridCol w:w="3537"/>
        <w:gridCol w:w="2976"/>
      </w:tblGrid>
      <w:tr>
        <w:tc>
          <w:tcPr>
            <w:tcW w:w="2294" w:type="dxa"/>
          </w:tcPr>
          <w:p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Функція</w:t>
            </w:r>
          </w:p>
        </w:tc>
        <w:tc>
          <w:tcPr>
            <w:tcW w:w="940" w:type="dxa"/>
          </w:tcPr>
          <w:p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О/Д</w:t>
            </w:r>
          </w:p>
        </w:tc>
        <w:tc>
          <w:tcPr>
            <w:tcW w:w="3537" w:type="dxa"/>
          </w:tcPr>
          <w:p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За яким критерієм віднесена</w:t>
            </w:r>
          </w:p>
        </w:tc>
        <w:tc>
          <w:tcPr>
            <w:tcW w:w="2976" w:type="dxa"/>
          </w:tcPr>
          <w:p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  <w:r>
              <w:rPr>
                <w:rStyle w:val="aa"/>
                <w:sz w:val="28"/>
                <w:szCs w:val="28"/>
              </w:rPr>
              <w:t>Стійкість</w:t>
            </w:r>
          </w:p>
        </w:tc>
      </w:tr>
      <w:tr>
        <w:tc>
          <w:tcPr>
            <w:tcW w:w="2294" w:type="dxa"/>
          </w:tcPr>
          <w:p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  <w:tc>
          <w:tcPr>
            <w:tcW w:w="940" w:type="dxa"/>
          </w:tcPr>
          <w:p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  <w:tc>
          <w:tcPr>
            <w:tcW w:w="3537" w:type="dxa"/>
          </w:tcPr>
          <w:p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  <w:tc>
          <w:tcPr>
            <w:tcW w:w="2976" w:type="dxa"/>
          </w:tcPr>
          <w:p>
            <w:pPr>
              <w:pStyle w:val="ab"/>
              <w:shd w:val="clear" w:color="auto" w:fill="auto"/>
              <w:spacing w:line="240" w:lineRule="auto"/>
              <w:ind w:firstLine="0"/>
              <w:jc w:val="both"/>
              <w:rPr>
                <w:rStyle w:val="aa"/>
                <w:sz w:val="28"/>
                <w:szCs w:val="28"/>
              </w:rPr>
            </w:pPr>
          </w:p>
        </w:tc>
      </w:tr>
    </w:tbl>
    <w:p>
      <w:pPr>
        <w:pStyle w:val="ab"/>
        <w:shd w:val="clear" w:color="auto" w:fill="auto"/>
        <w:spacing w:line="240" w:lineRule="auto"/>
        <w:ind w:firstLine="0"/>
        <w:jc w:val="both"/>
        <w:rPr>
          <w:rStyle w:val="aa"/>
          <w:sz w:val="28"/>
          <w:szCs w:val="28"/>
        </w:rPr>
      </w:pPr>
      <w:r>
        <w:rPr>
          <w:rStyle w:val="aa"/>
          <w:sz w:val="28"/>
          <w:szCs w:val="28"/>
        </w:rPr>
        <w:t>В графі "О/Д" записуємо "О" для основних, "Д"</w:t>
      </w:r>
      <w:r>
        <w:rPr>
          <w:rStyle w:val="aa"/>
          <w:sz w:val="28"/>
          <w:szCs w:val="28"/>
        </w:rPr>
        <w:tab/>
        <w:t xml:space="preserve"> для другорядних.</w:t>
      </w:r>
    </w:p>
    <w:p>
      <w:pPr>
        <w:pStyle w:val="ab"/>
        <w:shd w:val="clear" w:color="auto" w:fill="auto"/>
        <w:spacing w:line="240" w:lineRule="auto"/>
        <w:ind w:firstLine="0"/>
        <w:jc w:val="both"/>
        <w:rPr>
          <w:rStyle w:val="aa"/>
          <w:sz w:val="28"/>
          <w:szCs w:val="28"/>
        </w:rPr>
      </w:pPr>
      <w:r>
        <w:rPr>
          <w:rStyle w:val="aa"/>
          <w:sz w:val="28"/>
          <w:szCs w:val="28"/>
        </w:rPr>
        <w:t xml:space="preserve">В графі " Стійкість " визначаємо область </w:t>
      </w:r>
      <w:r>
        <w:rPr>
          <w:sz w:val="28"/>
          <w:szCs w:val="28"/>
        </w:rPr>
        <w:t>можливої нестійкості функцій, або встановлюємо позначку "стійка".</w:t>
      </w:r>
    </w:p>
    <w:p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закінченню практичну роботу потрібно здати на перевірку викладачеві, надіславши електронною поштою на адресу </w:t>
      </w:r>
      <w:hyperlink r:id="rId7" w:history="1">
        <w:r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</w:rPr>
        <w:t xml:space="preserve">.. Наприклад, </w:t>
      </w:r>
      <w:r>
        <w:rPr>
          <w:rFonts w:ascii="Times New Roman" w:hAnsi="Times New Roman" w:cs="Times New Roman"/>
          <w:b/>
          <w:sz w:val="28"/>
          <w:szCs w:val="28"/>
        </w:rPr>
        <w:t>РІ4101Р</w:t>
      </w:r>
      <w:r>
        <w:rPr>
          <w:rFonts w:ascii="Times New Roman" w:hAnsi="Times New Roman" w:cs="Times New Roman"/>
          <w:sz w:val="28"/>
          <w:szCs w:val="28"/>
        </w:rPr>
        <w:t xml:space="preserve">buts.doc.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ОПІ &lt;Номер групи&gt;-ЛР&lt;Номер лабораторної&gt;-&lt;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ІПЗ-41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15.09.2024</w:t>
      </w:r>
    </w:p>
    <w:p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ІПЗ-41 –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>Підготовка тестів складається з кроків.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1. Дослідження.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2. Проектування тестів.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3. Виконання тестів.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4. Визначення критерію покриття.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Крок 1. Дослідження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Формування списку функцій (ієрархії функцій).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Розбивка функцій на основні й другорядні.</w:t>
      </w:r>
    </w:p>
    <w:p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Виявлення областей можливої нестійкості продукту (підданих відмовам функцій і даних).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1. Визначення основних та другорядних функцій</w:t>
      </w:r>
    </w:p>
    <w:tbl>
      <w:tblPr>
        <w:tblW w:w="1006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05"/>
        <w:gridCol w:w="6663"/>
      </w:tblGrid>
      <w:tr>
        <w:trPr>
          <w:trHeight w:val="340"/>
          <w:tblHeader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Визначення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Критерії віднесення</w:t>
            </w:r>
          </w:p>
        </w:tc>
      </w:tr>
      <w:tr>
        <w:trPr>
          <w:trHeight w:val="2246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Основна функція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будь-яка зовнішня функція, відмови в якій означають невідповідність продукту своєму призначенню.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numPr>
                <w:ilvl w:val="0"/>
                <w:numId w:val="4"/>
              </w:numPr>
              <w:tabs>
                <w:tab w:val="clear" w:pos="720"/>
                <w:tab w:val="num" w:pos="423"/>
              </w:tabs>
              <w:autoSpaceDE w:val="0"/>
              <w:autoSpaceDN w:val="0"/>
              <w:adjustRightInd w:val="0"/>
              <w:spacing w:after="0" w:line="240" w:lineRule="auto"/>
              <w:ind w:left="140" w:hanging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Функції, що є визначальними для використання продукту по призначенню.</w:t>
            </w:r>
          </w:p>
          <w:p>
            <w:pPr>
              <w:numPr>
                <w:ilvl w:val="0"/>
                <w:numId w:val="4"/>
              </w:numPr>
              <w:tabs>
                <w:tab w:val="clear" w:pos="720"/>
                <w:tab w:val="num" w:pos="423"/>
              </w:tabs>
              <w:autoSpaceDE w:val="0"/>
              <w:autoSpaceDN w:val="0"/>
              <w:adjustRightInd w:val="0"/>
              <w:spacing w:after="0" w:line="240" w:lineRule="auto"/>
              <w:ind w:left="140" w:hanging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Функції, часто використовувані звичайними користувачами в сеансі роботи.</w:t>
            </w:r>
          </w:p>
          <w:p>
            <w:pPr>
              <w:numPr>
                <w:ilvl w:val="0"/>
                <w:numId w:val="4"/>
              </w:numPr>
              <w:tabs>
                <w:tab w:val="clear" w:pos="720"/>
                <w:tab w:val="num" w:pos="423"/>
              </w:tabs>
              <w:autoSpaceDE w:val="0"/>
              <w:autoSpaceDN w:val="0"/>
              <w:adjustRightInd w:val="0"/>
              <w:spacing w:after="0" w:line="240" w:lineRule="auto"/>
              <w:ind w:left="140" w:hanging="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Функції, які можуть використовуватися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рідко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але їхні відмови приводять до значних негативних наслідків.</w:t>
            </w:r>
          </w:p>
        </w:tc>
      </w:tr>
      <w:tr>
        <w:trPr>
          <w:trHeight w:val="1102"/>
        </w:trPr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Другорядна функція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функція, без якої продукт може використовуватися.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Рідко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використовувані функції, відмови при виконанні яких не можуть мати істотних наслідків.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Приклади областей можливої нестійкості функцій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 обробки зовнішніх подій;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функції, 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інтенсивно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використовують оперативна пам'ять;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дуже складні функції;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функції, що використовують засоби Windows і/або її параметри, що змінюють (настроювання параметрів);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функції, що маніпулюють конфігурацією Windows;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 аналізу вхідних даних і обробки помилок;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функції, що підмінюють базові функції Windows (наприклад, відновлення вилучених файлів);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 або групи функцій, що використовують багато паралельних процесів;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функції, що працюють із багатьма файлами одночасно;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функції, що працюють із файлами, розташованими в мережі.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Приклади областей можливої нестійкості при обробці даних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документи:</w:t>
      </w:r>
      <w:r>
        <w:rPr>
          <w:rFonts w:ascii="Times New Roman" w:hAnsi="Times New Roman" w:cs="Times New Roman"/>
          <w:sz w:val="28"/>
          <w:szCs w:val="28"/>
        </w:rPr>
        <w:t xml:space="preserve"> довгі, багато одночасно відкритих;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запису:</w:t>
      </w:r>
      <w:r>
        <w:rPr>
          <w:rFonts w:ascii="Times New Roman" w:hAnsi="Times New Roman" w:cs="Times New Roman"/>
          <w:sz w:val="28"/>
          <w:szCs w:val="28"/>
        </w:rPr>
        <w:t xml:space="preserve"> довгі, багато записів, порожні, складні;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списки:</w:t>
      </w:r>
      <w:r>
        <w:rPr>
          <w:rFonts w:ascii="Times New Roman" w:hAnsi="Times New Roman" w:cs="Times New Roman"/>
          <w:sz w:val="28"/>
          <w:szCs w:val="28"/>
        </w:rPr>
        <w:t xml:space="preserve"> довгі, порожні або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багатоколонкові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поля:</w:t>
      </w:r>
      <w:r>
        <w:rPr>
          <w:rFonts w:ascii="Times New Roman" w:hAnsi="Times New Roman" w:cs="Times New Roman"/>
          <w:sz w:val="28"/>
          <w:szCs w:val="28"/>
        </w:rPr>
        <w:t xml:space="preserve"> уведення великої кількості символів; дуже більші значення числових полів;</w:t>
      </w:r>
    </w:p>
    <w:p>
      <w:pPr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об'єкти:</w:t>
      </w:r>
      <w:r>
        <w:rPr>
          <w:rFonts w:ascii="Times New Roman" w:hAnsi="Times New Roman" w:cs="Times New Roman"/>
          <w:sz w:val="28"/>
          <w:szCs w:val="28"/>
        </w:rPr>
        <w:t xml:space="preserve"> багато, великі, складні й ін.</w:t>
      </w:r>
    </w:p>
    <w:p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Крок 2. Проектування тестів.</w:t>
      </w:r>
    </w:p>
    <w:tbl>
      <w:tblPr>
        <w:tblW w:w="9639" w:type="dxa"/>
        <w:tblInd w:w="14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52"/>
        <w:gridCol w:w="3402"/>
        <w:gridCol w:w="3685"/>
      </w:tblGrid>
      <w:tr>
        <w:trPr>
          <w:trHeight w:val="528"/>
          <w:tblHeader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Визначення мети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Критерій проходу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Критерій відмови</w:t>
            </w:r>
          </w:p>
        </w:tc>
      </w:tr>
      <w:tr>
        <w:trPr>
          <w:trHeight w:val="899"/>
        </w:trPr>
        <w:tc>
          <w:tcPr>
            <w:tcW w:w="25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Функціональність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здатність продукту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виконувати необхідні функції.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Функція виконується відповідно до її призначення.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Хоча б одна функція не виконується відповідно до її призначення.</w:t>
            </w:r>
          </w:p>
        </w:tc>
      </w:tr>
      <w:tr>
        <w:trPr>
          <w:trHeight w:val="1608"/>
        </w:trPr>
        <w:tc>
          <w:tcPr>
            <w:tcW w:w="255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Будь-яке неправильне виконання функції не приводить до серйозних наслідків при коректному використанні.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Неправильне виконання приводить до серйозних наслідків навіть при коректному використанні.</w:t>
            </w:r>
          </w:p>
        </w:tc>
      </w:tr>
      <w:tr>
        <w:trPr>
          <w:trHeight w:val="3326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Стійкість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здатність продукту функціонувати без відмов при підвищених навантаженнях (за часом, пам'яті).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Робота продукту при підвищених навантаженнях не приводить до руйнування Windows.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Робота продукту не приводить до втрати даних, зависанню, відмові. При тестуванні не було виявлено відмов або будь-яких дефектів при виконанні основних функцій.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Робота продукту руйнує Windows.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Робота продукту може привести до втрати даних, зависанню, відмові. При тестуванні хоч однієї з основних функцій спостерігалися відмови.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Крок 3. Виконання тестів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Завдання: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всіх основних функцій;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ідентифікованих областей потенційної нестійкості;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вибіркове тестування другорядних функцій;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реєстрація відмов;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фіксація будь-яких виявлених проблем (для подальшого вивчення).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Крок 4. Визначення критерію покриття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протестовані всі основні функцій;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протестовані обрані другорядні функції;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протестовані обрані області можливої нестійкості (п'ять - десять функцій, які можуть привести до нестійкої роботи продукту, протестувати їх на тестових даних).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Розподіл часу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80% часу - на основні функції,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10% - на другорядні й 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10% - на області потенційної нестійкості.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Еквівалентна розбивка</w:t>
      </w:r>
    </w:p>
    <w:p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Критерії :</w:t>
      </w:r>
    </w:p>
    <w:p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 включають значення тих самих вхідних даних;</w:t>
      </w:r>
    </w:p>
    <w:p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запуску тестів виконуються ті самі операції;</w:t>
      </w:r>
    </w:p>
    <w:p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 виконання тестів очікуються однакові результати;</w:t>
      </w:r>
    </w:p>
    <w:p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або жоден з тестів не викликає виконання блоку обробки помилок, або всі тести викликають виконання цього блоку (у припущенні, що програма взагалі містить блоки обробки помилок).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autoSpaceDE w:val="0"/>
        <w:autoSpaceDN w:val="0"/>
        <w:adjustRightInd w:val="0"/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Приклад опису класів еквівалентності</w:t>
      </w:r>
    </w:p>
    <w:tbl>
      <w:tblPr>
        <w:tblW w:w="9355" w:type="dxa"/>
        <w:tblInd w:w="42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26"/>
        <w:gridCol w:w="2315"/>
        <w:gridCol w:w="4914"/>
      </w:tblGrid>
      <w:tr>
        <w:trPr>
          <w:trHeight w:val="479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Вхідні події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Припустимі класи еквівалентності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Неприпустимі класи еквівалентності</w:t>
            </w:r>
          </w:p>
        </w:tc>
      </w:tr>
      <w:tr>
        <w:trPr>
          <w:trHeight w:val="2015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Уведення числа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Числа від 0 до 9000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Числа менше 0 і числа більше 9000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Пробіл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Нечислові символи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Вираз, що обчислюється, результат обчислення якого перебуває поза припустимим інтервалом</w:t>
            </w:r>
          </w:p>
        </w:tc>
      </w:tr>
      <w:tr>
        <w:trPr>
          <w:trHeight w:val="798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Уведення першої букви прізвища</w:t>
            </w:r>
          </w:p>
        </w:tc>
        <w:tc>
          <w:tcPr>
            <w:tcW w:w="2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ind w:firstLine="3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Перший символ повинен бути заголовною буквою</w:t>
            </w:r>
          </w:p>
        </w:tc>
        <w:tc>
          <w:tcPr>
            <w:tcW w:w="4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ind w:firstLine="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Перший символ мала літера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firstLine="4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Перший символ - не буква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Розбивка вхідного простору на категорії </w:t>
      </w:r>
      <w:r>
        <w:rPr>
          <w:rFonts w:ascii="Times New Roman" w:hAnsi="Times New Roman" w:cs="Times New Roman"/>
          <w:sz w:val="28"/>
          <w:szCs w:val="28"/>
        </w:rPr>
        <w:t>виконується у послідовності</w:t>
      </w:r>
    </w:p>
    <w:p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uk-UA"/>
        </w:rPr>
      </w:pPr>
      <w:r>
        <w:rPr>
          <w:rFonts w:eastAsiaTheme="minorEastAsia"/>
          <w:i/>
          <w:iCs/>
          <w:sz w:val="28"/>
          <w:szCs w:val="28"/>
          <w:lang w:val="uk-UA"/>
        </w:rPr>
        <w:t>Декомпозиція функції на функціональні елементи, які можуть тестуватися незалежно.</w:t>
      </w:r>
      <w:r>
        <w:rPr>
          <w:rFonts w:eastAsiaTheme="minorEastAsia"/>
          <w:sz w:val="28"/>
          <w:szCs w:val="28"/>
          <w:lang w:val="uk-UA"/>
        </w:rPr>
        <w:t xml:space="preserve"> </w:t>
      </w:r>
    </w:p>
    <w:p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uk-UA"/>
        </w:rPr>
      </w:pPr>
      <w:r>
        <w:rPr>
          <w:rFonts w:eastAsiaTheme="minorEastAsia"/>
          <w:i/>
          <w:iCs/>
          <w:sz w:val="28"/>
          <w:szCs w:val="28"/>
          <w:lang w:val="uk-UA"/>
        </w:rPr>
        <w:t>Ідентифікація параметрів і умов середовища, що впливають на поводження функції.</w:t>
      </w:r>
      <w:r>
        <w:rPr>
          <w:rFonts w:eastAsiaTheme="minorEastAsia"/>
          <w:sz w:val="28"/>
          <w:szCs w:val="28"/>
          <w:lang w:val="uk-UA"/>
        </w:rPr>
        <w:t xml:space="preserve"> </w:t>
      </w:r>
    </w:p>
    <w:p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uk-UA"/>
        </w:rPr>
      </w:pPr>
      <w:r>
        <w:rPr>
          <w:rFonts w:eastAsiaTheme="minorEastAsia"/>
          <w:i/>
          <w:iCs/>
          <w:sz w:val="28"/>
          <w:szCs w:val="28"/>
          <w:lang w:val="uk-UA"/>
        </w:rPr>
        <w:t>Виділення категорій інформації, що характеризує кожний параметр і умова середовища.</w:t>
      </w:r>
      <w:r>
        <w:rPr>
          <w:rFonts w:eastAsiaTheme="minorEastAsia"/>
          <w:sz w:val="28"/>
          <w:szCs w:val="28"/>
          <w:lang w:val="uk-UA"/>
        </w:rPr>
        <w:t xml:space="preserve"> </w:t>
      </w:r>
    </w:p>
    <w:p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uk-UA"/>
        </w:rPr>
      </w:pPr>
      <w:r>
        <w:rPr>
          <w:rFonts w:eastAsiaTheme="minorEastAsia"/>
          <w:i/>
          <w:iCs/>
          <w:sz w:val="28"/>
          <w:szCs w:val="28"/>
          <w:lang w:val="uk-UA"/>
        </w:rPr>
        <w:t>Розбивка кожної категорії на чіткі альтернативи, які включають різні види значень, можливі для категорії.</w:t>
      </w:r>
      <w:r>
        <w:rPr>
          <w:rFonts w:eastAsiaTheme="minorEastAsia"/>
          <w:sz w:val="28"/>
          <w:szCs w:val="28"/>
          <w:lang w:val="uk-UA"/>
        </w:rPr>
        <w:t xml:space="preserve"> </w:t>
      </w:r>
    </w:p>
    <w:p>
      <w:pPr>
        <w:pStyle w:val="a9"/>
        <w:numPr>
          <w:ilvl w:val="0"/>
          <w:numId w:val="10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sz w:val="28"/>
          <w:szCs w:val="28"/>
          <w:lang w:val="uk-UA"/>
        </w:rPr>
      </w:pPr>
      <w:r>
        <w:rPr>
          <w:rFonts w:eastAsiaTheme="minorEastAsia"/>
          <w:i/>
          <w:iCs/>
          <w:sz w:val="28"/>
          <w:szCs w:val="28"/>
          <w:lang w:val="uk-UA"/>
        </w:rPr>
        <w:t>Формування формальної специфікації тесту для кожного функціонального елемента.</w:t>
      </w:r>
      <w:r>
        <w:rPr>
          <w:rFonts w:eastAsiaTheme="minorEastAsia"/>
          <w:sz w:val="28"/>
          <w:szCs w:val="28"/>
          <w:lang w:val="uk-UA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Приклад формування формальної специфікації тесту для кожного функціонального елемента</w:t>
      </w:r>
    </w:p>
    <w:tbl>
      <w:tblPr>
        <w:tblW w:w="992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62"/>
        <w:gridCol w:w="2126"/>
        <w:gridCol w:w="6237"/>
      </w:tblGrid>
      <w:tr>
        <w:trPr>
          <w:trHeight w:val="347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Категорія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Альтернативи</w:t>
            </w:r>
          </w:p>
        </w:tc>
      </w:tr>
      <w:tr>
        <w:trPr>
          <w:trHeight w:val="964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вибору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Зміст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Піктограма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Значок з текстом</w:t>
            </w:r>
          </w:p>
        </w:tc>
      </w:tr>
      <w:tr>
        <w:trPr>
          <w:trHeight w:val="1263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не зазначене/обране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не зазначене/не обране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зазначене/обране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зазначене/не обране</w:t>
            </w:r>
          </w:p>
        </w:tc>
      </w:tr>
      <w:tr>
        <w:trPr>
          <w:trHeight w:val="944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Однозначний вибір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Багатозначний вибір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Розширений вибір</w:t>
            </w:r>
          </w:p>
        </w:tc>
      </w:tr>
      <w:tr>
        <w:trPr>
          <w:trHeight w:val="1357"/>
        </w:trPr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Меню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Спосіб вибору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курсором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Виділена буква/(комбінація букв)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Функціональна клавіша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за допомогою клавіатури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Що надає такий підхід:</w:t>
      </w:r>
    </w:p>
    <w:p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дозволяє охопити відразу обоє основних аспекту тестування - перевірку повноти реалізації функцій і виявлення різних класів дефектів у найбільш уразливих частинах програми;</w:t>
      </w:r>
    </w:p>
    <w:p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функціональний аналіз є невід'ємною частиною методу й виконується паралельно зі специфікацією функціональних вимог (або відразу після), забезпечуючи своєчасне усунення дефектів специфікацій;</w:t>
      </w:r>
    </w:p>
    <w:p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хоча специфікація тесту повинна охоплювати всі можливі категорії інформації й варіанти сполучення альтернатив, - застосовуючи механізм обмежень і керуючись практичними міркуваннями, можна управляти обсягом тестування;</w:t>
      </w:r>
    </w:p>
    <w:p>
      <w:pPr>
        <w:numPr>
          <w:ilvl w:val="0"/>
          <w:numId w:val="11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 перебору альтернатив і «відсівання» неможливих або небажаних їхніх сполучень може бути автоматизований, що позбавить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тестувальника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від рутинної роботи.</w:t>
      </w:r>
    </w:p>
    <w:p/>
    <w:sectPr>
      <w:headerReference w:type="default" r:id="rId8"/>
      <w:pgSz w:w="11906" w:h="16838"/>
      <w:pgMar w:top="673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rPr>
        <w:rFonts w:ascii="Times New Roman" w:hAnsi="Times New Roman" w:cs="Times New Roman"/>
        <w:sz w:val="24"/>
        <w:szCs w:val="24"/>
      </w:rPr>
      <w:t>ОПІ ПР 07-2.</w:t>
    </w:r>
    <w:r>
      <w:rPr>
        <w:rFonts w:ascii="Times New Roman" w:hAnsi="Times New Roman" w:cs="Times New Roman"/>
        <w:sz w:val="28"/>
        <w:szCs w:val="28"/>
      </w:rPr>
      <w:t xml:space="preserve"> Процес тестування програмного забезпечення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3F31"/>
    <w:multiLevelType w:val="hybridMultilevel"/>
    <w:tmpl w:val="0C92784C"/>
    <w:lvl w:ilvl="0" w:tplc="7EE0D7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C40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CAB5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FC1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3AD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DCA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ACE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7248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488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15C366E"/>
    <w:multiLevelType w:val="hybridMultilevel"/>
    <w:tmpl w:val="8F66DC0C"/>
    <w:lvl w:ilvl="0" w:tplc="36E43F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842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00C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A6AE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CF2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6CE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228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568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4A9A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F41C9"/>
    <w:multiLevelType w:val="hybridMultilevel"/>
    <w:tmpl w:val="DC74F74C"/>
    <w:lvl w:ilvl="0" w:tplc="BA4ED5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883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58C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A81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0AD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C21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AC9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8E0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9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F837410"/>
    <w:multiLevelType w:val="hybridMultilevel"/>
    <w:tmpl w:val="CC64D426"/>
    <w:lvl w:ilvl="0" w:tplc="4896F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65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3C5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9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2D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52E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4C4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D26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2E0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FC22D25"/>
    <w:multiLevelType w:val="hybridMultilevel"/>
    <w:tmpl w:val="424CAD2C"/>
    <w:lvl w:ilvl="0" w:tplc="E9645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AC7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F03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F4F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8E7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A4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424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D09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D8F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2F97301"/>
    <w:multiLevelType w:val="hybridMultilevel"/>
    <w:tmpl w:val="84260FA4"/>
    <w:lvl w:ilvl="0" w:tplc="6F185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FC8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741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8A4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64D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602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E43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0A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001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5E3A57"/>
    <w:multiLevelType w:val="hybridMultilevel"/>
    <w:tmpl w:val="C7BC1F5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50B7633"/>
    <w:multiLevelType w:val="hybridMultilevel"/>
    <w:tmpl w:val="C6983530"/>
    <w:lvl w:ilvl="0" w:tplc="FFC26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46D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705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82E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444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C48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986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F4D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024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E317720"/>
    <w:multiLevelType w:val="hybridMultilevel"/>
    <w:tmpl w:val="B2725DC0"/>
    <w:lvl w:ilvl="0" w:tplc="F404FF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0C7F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548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42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B22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C02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9AD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E45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ACE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6ACE71-7B47-4B77-B0F4-CA384322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4954</Words>
  <Characters>2824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12</cp:revision>
  <cp:lastPrinted>2020-09-29T17:33:00Z</cp:lastPrinted>
  <dcterms:created xsi:type="dcterms:W3CDTF">2020-09-14T18:00:00Z</dcterms:created>
  <dcterms:modified xsi:type="dcterms:W3CDTF">2024-09-08T17:24:00Z</dcterms:modified>
</cp:coreProperties>
</file>