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Практична робота №9-1.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Планування подальшого розвитку </w:t>
      </w:r>
      <w:r>
        <w:rPr>
          <w:rFonts w:ascii="Times New Roman" w:hAnsi="Times New Roman" w:cs="Times New Roman"/>
          <w:b/>
          <w:sz w:val="28"/>
          <w:szCs w:val="28"/>
        </w:rPr>
        <w:t>програмного забезпечення (Взаємодія, еволюція програм і даних)</w:t>
      </w:r>
    </w:p>
    <w:p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Мета: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Навчиться планувати подальший розвиток </w:t>
      </w:r>
      <w:r>
        <w:rPr>
          <w:rFonts w:ascii="Times New Roman" w:hAnsi="Times New Roman" w:cs="Times New Roman"/>
          <w:sz w:val="28"/>
          <w:szCs w:val="28"/>
        </w:rPr>
        <w:t>програмного забезпечення.</w:t>
      </w:r>
    </w:p>
    <w:p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лабораторної роботи.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власного проекту визначити та конкретизувати можливі аспекти подальшого розвитку програмного продукту, розглянувши можливості </w:t>
      </w:r>
    </w:p>
    <w:p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Модифікація продукту в процесі супроводження</w:t>
      </w:r>
    </w:p>
    <w:p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Удосконалення кор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истувальницького інтерфейсу,</w:t>
      </w:r>
    </w:p>
    <w:p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нових функцій </w:t>
      </w:r>
    </w:p>
    <w:p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Підвищення продуктивності</w:t>
      </w:r>
    </w:p>
    <w:p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стандартних сервісів</w:t>
      </w:r>
    </w:p>
    <w:p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Зміна апаратної платформи, операційного середовища, мови програмування, СКДБ (або перехід на використання СКДБ).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практичної роботи.</w:t>
      </w:r>
    </w:p>
    <w:p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Прізвище, група</w:t>
      </w:r>
    </w:p>
    <w:p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проекту.</w:t>
      </w:r>
    </w:p>
    <w:p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По кожній позиції з п.2 надати конкретні пропозиції та визначити спосіб їх реалізації.</w:t>
      </w:r>
    </w:p>
    <w:p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закінченню практичну роботу потрібно здати на перевірку викладачеві, надіславши електронною поштою на адресу </w:t>
      </w:r>
      <w:hyperlink r:id="rId7" w:history="1">
        <w:r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</w:rPr>
        <w:t xml:space="preserve">.. Наприклад, </w:t>
      </w:r>
      <w:r>
        <w:rPr>
          <w:rFonts w:ascii="Times New Roman" w:hAnsi="Times New Roman" w:cs="Times New Roman"/>
          <w:b/>
          <w:sz w:val="28"/>
          <w:szCs w:val="28"/>
        </w:rPr>
        <w:t>РІ4101Р</w:t>
      </w:r>
      <w:r>
        <w:rPr>
          <w:rFonts w:ascii="Times New Roman" w:hAnsi="Times New Roman" w:cs="Times New Roman"/>
          <w:sz w:val="28"/>
          <w:szCs w:val="28"/>
        </w:rPr>
        <w:t xml:space="preserve">buts.doc.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ОПІ &lt;Номер групи&gt;-ЛР&lt;Номер лабораторної&gt;-&lt;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ІПЗ-41 – 28.10.2024</w:t>
      </w:r>
    </w:p>
    <w:p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ІПЗ-42 – 28.10.2024</w:t>
      </w:r>
    </w:p>
    <w:p>
      <w:pPr>
        <w:pStyle w:val="a9"/>
        <w:ind w:left="0" w:firstLine="709"/>
        <w:jc w:val="both"/>
        <w:rPr>
          <w:b/>
          <w:sz w:val="28"/>
          <w:szCs w:val="28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Контрольні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запитання</w:t>
      </w:r>
      <w:proofErr w:type="spellEnd"/>
      <w:r>
        <w:rPr>
          <w:bCs/>
          <w:iCs/>
          <w:color w:val="000000"/>
          <w:sz w:val="28"/>
          <w:szCs w:val="28"/>
        </w:rPr>
        <w:t>.</w:t>
      </w:r>
    </w:p>
    <w:p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Визначте цілі і завдання інтерфейсу в програмній інженерії.</w:t>
      </w:r>
    </w:p>
    <w:p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Назвіть методи виклику компонентів в розподілених середовищах</w:t>
      </w:r>
    </w:p>
    <w:p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Визначте шляхи процесу зміни (еволюції) ПС.</w:t>
      </w:r>
    </w:p>
    <w:p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Визначте </w:t>
      </w:r>
      <w:r>
        <w:rPr>
          <w:rStyle w:val="ae"/>
          <w:i w:val="0"/>
          <w:sz w:val="28"/>
          <w:szCs w:val="28"/>
        </w:rPr>
        <w:t>засоби перетворення</w:t>
      </w:r>
      <w:r>
        <w:rPr>
          <w:rStyle w:val="apple-converted-space"/>
          <w:i/>
          <w:iCs/>
          <w:sz w:val="28"/>
          <w:szCs w:val="28"/>
        </w:rPr>
        <w:t> </w:t>
      </w:r>
      <w:r>
        <w:rPr>
          <w:sz w:val="28"/>
          <w:szCs w:val="28"/>
        </w:rPr>
        <w:t>даних і їхніх форматів</w:t>
      </w:r>
    </w:p>
    <w:p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 чим пов’язане перетворення даних БД?</w:t>
      </w:r>
    </w:p>
    <w:p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Визначте цілі і завдання зміни ПС при супроводі</w:t>
      </w:r>
    </w:p>
    <w:p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Охарактеризуйте проблеми, що виникають при супроводі системи.</w:t>
      </w:r>
    </w:p>
    <w:p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Визначте основні завдання </w:t>
      </w:r>
      <w:proofErr w:type="spellStart"/>
      <w:r>
        <w:rPr>
          <w:sz w:val="28"/>
          <w:szCs w:val="28"/>
        </w:rPr>
        <w:t>реінженерії</w:t>
      </w:r>
      <w:proofErr w:type="spellEnd"/>
      <w:r>
        <w:rPr>
          <w:sz w:val="28"/>
          <w:szCs w:val="28"/>
        </w:rPr>
        <w:t xml:space="preserve"> ПС.</w:t>
      </w:r>
    </w:p>
    <w:p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Чим відрізняється </w:t>
      </w:r>
      <w:proofErr w:type="spellStart"/>
      <w:r>
        <w:rPr>
          <w:sz w:val="28"/>
          <w:szCs w:val="28"/>
        </w:rPr>
        <w:t>рефакторинг</w:t>
      </w:r>
      <w:proofErr w:type="spellEnd"/>
      <w:r>
        <w:rPr>
          <w:sz w:val="28"/>
          <w:szCs w:val="28"/>
        </w:rPr>
        <w:t xml:space="preserve"> компонентів від </w:t>
      </w:r>
      <w:proofErr w:type="spellStart"/>
      <w:r>
        <w:rPr>
          <w:sz w:val="28"/>
          <w:szCs w:val="28"/>
        </w:rPr>
        <w:t>реінженерії</w:t>
      </w:r>
      <w:proofErr w:type="spellEnd"/>
      <w:r>
        <w:rPr>
          <w:sz w:val="28"/>
          <w:szCs w:val="28"/>
        </w:rPr>
        <w:t>?</w:t>
      </w:r>
    </w:p>
    <w:p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Визначте основні операції реверсної інженерії ПС.</w:t>
      </w:r>
    </w:p>
    <w:p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Визначте проблеми перетворення форматів даних.</w:t>
      </w:r>
    </w:p>
    <w:p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Які методи перетворення даних БД існують?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зусиль по розробці програмного забезпечення полягає в передачі в експлуатацію програмного продукту, який задовольняє вимогам користувачів. Відповідно, в процесі експлуатації продукт буде змінюватися або еволюціонувати. Пов'язано це з виявленням при реальному використанні прихованих дефектів, змінами в операційному оточенні, необхідністю покриття нових вимог і </w:t>
      </w:r>
      <w:proofErr w:type="spellStart"/>
      <w:r>
        <w:rPr>
          <w:sz w:val="28"/>
          <w:szCs w:val="28"/>
        </w:rPr>
        <w:t>т.п</w:t>
      </w:r>
      <w:proofErr w:type="spellEnd"/>
      <w:r>
        <w:rPr>
          <w:sz w:val="28"/>
          <w:szCs w:val="28"/>
        </w:rPr>
        <w:t xml:space="preserve">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Фаза супроводу в життєвому циклі, зазвичай, починається відразу після приймання/передачі продукту і діє протягом гарантійного терміну або, частіше, технічної підтримки. Однак, саме діяльність, пов'язана з супроводом, починається набагато раніше.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Програмні засоби є одним з найбільш гнучких видів промислових виробів і епізодично піддаються змінам протягом усього часу їх використання.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Іноді досить при коригуванні програмного забезпечення </w:t>
      </w:r>
      <w:proofErr w:type="spellStart"/>
      <w:r>
        <w:rPr>
          <w:sz w:val="28"/>
          <w:szCs w:val="28"/>
        </w:rPr>
        <w:t>внести</w:t>
      </w:r>
      <w:proofErr w:type="spellEnd"/>
      <w:r>
        <w:rPr>
          <w:sz w:val="28"/>
          <w:szCs w:val="28"/>
        </w:rPr>
        <w:t xml:space="preserve"> тільки одну помилку для того, щоб різко знизилася його надійність або його коректність при деяких вихідних даних.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збереження і підвищення якості програмного забезпечення необхідно регламентувати процес модифікації і підтримувати його відповідним тестуванням і контролем якості. В результаті програмний виріб з часом зазвичай поліпшується як за функціональними можливостями, так і за якістю рішення окремих завдань.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Роботи, що забезпечують контроль і підвищення якості, а також розвиток функціональних можливостей програм, складають процес супроводу.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процесі супроводу в програмне забезпечення вносяться наступні зміни, значно різняться причинами і характеристиками: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Виправлення помилок - коригування програм, що видають неправильні результати в умовах, обмежених технічного завдання та документацією. Виправлення помилок вимагають близько 20% загальних витрат на супровід.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Регламентована документами адаптація програмного забезпечення до умов конкретного використання, з урахуванням характеристик зовнішнього середовища або конфігурації апаратури, на якій має бути функціонувати програмами. Адаптація займає близько 20% загальних витрат на супровід.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Модернізація - розширення функціональних можливостей або поліпшення характеристик вирішення окремих завдань відповідно до нового або додатковим технічним завданням на програмне виріб. Модернізація займає до 60% загальних витрат на супровід (рис. 1).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Супроводження програми – підтримка працездатності програми, перехід на її нові версії, внесення змін, виправлення помилок, а також процес </w:t>
      </w:r>
      <w:r>
        <w:rPr>
          <w:sz w:val="28"/>
          <w:szCs w:val="28"/>
        </w:rPr>
        <w:lastRenderedPageBreak/>
        <w:t xml:space="preserve">покращення, оптимізації та виправлення дефектів у програмному забезпеченні після його вводу до експлуатації.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Цей процес стандартизовано організацією ISO — ISO/IEC 14764.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3683635" cy="18980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Wingdings" w:hAnsi="Wingdings" w:cs="Wingdings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1. Витрати на супровід програмного забезпечення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Процес супроводження містить у собі моделі процесу супроводу і планування діяльності людей, що проводять запуск ПЗ, перевірку правильності його виконання і внесення в нього змін. Цей процес згідно з стандартом ISO/IEC 14764 проводиться шляхом:</w:t>
      </w:r>
    </w:p>
    <w:p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▪ коригування, вдосконалення продукту для усунення виявлених помилок або нереалізованих задач; </w:t>
      </w:r>
    </w:p>
    <w:p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▪ адаптації,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підлаштування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продукту до умов експлуатації, що змінилися, або в новому середовищі виконання; </w:t>
      </w:r>
    </w:p>
    <w:p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▪ поліпшення, еволюційна зміна продукту для підвищення продуктивності або рівня супроводу; </w:t>
      </w:r>
    </w:p>
    <w:p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▪ перевірка ПЗ, пошук і виправлення помилок при експлуатації системи.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Ключові питання супроводу ПЗ – це управлінські, вимірювальні і вартісні. Суть управлінських питань – контроль ПЗ при модифікації й удосконалюванні функцій і недопущення зниження продуктивності системи. Питання вимірювання пов'язане з оцінкою характеристик системи після її модифікації, а також повторного тестування для оцінки показників якості. Вартісні питання пов'язані з оцінкою витрат на супровід залежно від його типу, кваліфікації персоналу, платформи й ін.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ході підтримки виправляються виявлені дефекти і недоробки. Також додається нова функціональність, вносяться зміни для підвищення зручності використання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юзабіліті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програми.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Послуги з підтримки програмного забезпечення включають в себе такі роботи як: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Виправлення помилок і усунення неполадок, невиявлених раніше.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Оптимізація роботи програми при різних умовах експлуатації.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Оновлення та доопрацювання за вимогами Замовника.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Профілактичні роботи по обслуговуванню баз даних інформаційної системи.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Підготовка технічної і призначеної для користувача документації.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Оновлення модулів програми і використовуваних бібліотек з урахуванням сучасних технологій.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Роботи по супроводу програмного забезпечення проводяться в тісному контакті зі співробітниками замовника, що дозволяє більш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динамічно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розвивати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програмне забезпечення,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оперативно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змінюючи пріоритети розробки. Також скорочується час, необхідний на узгодження плану робіт, оскільки доповнення та виправлення зазвичай несуть менш глобальний характер, ніж при розробці ядра програми.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Необхідний пакет послуг з підтримки обмовляється з кожним клієнтом індивідуально.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Створення навіть невеликого і технічно простого ПЗ залежить від чіткого виконання кожної фази, тобто діяльності всіх відділів, задіяних в процесі розробки. Чіткий план виконання необхідних заходів з зазначенням кінцевої мети стає невід'ємною частиною роботи розробників, які планують залишатися широко затребуваними на ринку праці фахівцями. Тільки правильно складене технічне завдання дозволить домогтися потрібного результату і здійснити розробку по-справжньому якісного і конкурентного ПЗ для будь-якої платформи - серверної, стаціонарним або мобільним.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Невід'ємною частиною завершального етапу розробки програмного забезпечення також є подальша технічна підтримка створеного продукту в </w:t>
      </w:r>
      <w:r>
        <w:rPr>
          <w:rFonts w:ascii="Times New Roman" w:hAnsi="Times New Roman" w:cs="Times New Roman"/>
          <w:sz w:val="28"/>
          <w:szCs w:val="28"/>
        </w:rPr>
        <w:t xml:space="preserve">процесі його експлуатації на підприємстві замовника.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Грамотно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організована служба технічної підтримки найчастіше стає ключовим фактором при виборі виконавця в рамках досягнення поставленої мети.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Важливим аспектом створення якісного ПЗ є забезпечення не функціональних вимог, таких як зручність в експлуатації, надійність, продуктивність, захищеність, зручність супроводу.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Надійність ПЗ визначає здатність без збоїв виконувати задані функції в заданих умовах і протягом заданого відрізка часу. Продуктивність характеризується часом виконання заданих транзакцій або тривалих операцій. Захищеність визначає ступінь безпеки системи від пошкоджень, втрати, несанкціонованого доступу і злочинної діяльності.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Зручність супроводу визначає легкість, з якою обслуговується продукт в плані простоти виправлення дефектів, внесення коректив для відповідності новим вимогам, управління зміненої середовищем.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Зручність супроводу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>
        <w:rPr>
          <w:rFonts w:ascii="Times New Roman" w:hAnsi="Times New Roman" w:cs="Times New Roman"/>
          <w:sz w:val="28"/>
          <w:szCs w:val="28"/>
        </w:rPr>
        <w:t>) означає зручність проведення всіх видів діяльності, пов'язаних із супроводом програм, включає в себе:</w:t>
      </w:r>
    </w:p>
    <w:p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▪</w:t>
      </w:r>
      <w:r>
        <w:rPr>
          <w:rFonts w:ascii="Wingdings" w:hAnsi="Wingdings" w:cs="Wingdings"/>
          <w:sz w:val="28"/>
          <w:szCs w:val="28"/>
        </w:rPr>
        <w:t></w:t>
      </w:r>
      <w:proofErr w:type="spellStart"/>
      <w:r>
        <w:rPr>
          <w:sz w:val="28"/>
          <w:szCs w:val="28"/>
        </w:rPr>
        <w:t>аналізованість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analyzability</w:t>
      </w:r>
      <w:proofErr w:type="spellEnd"/>
      <w:r>
        <w:rPr>
          <w:sz w:val="28"/>
          <w:szCs w:val="28"/>
        </w:rPr>
        <w:t xml:space="preserve">) або зручність проведення аналізу помилок, дефектів і недоліків, а також зручність аналізу необхідності змін і їх можливих наслідків; </w:t>
      </w:r>
    </w:p>
    <w:p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▪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>зручність внесення змін (</w:t>
      </w:r>
      <w:proofErr w:type="spellStart"/>
      <w:r>
        <w:rPr>
          <w:sz w:val="28"/>
          <w:szCs w:val="28"/>
        </w:rPr>
        <w:t>changeability</w:t>
      </w:r>
      <w:proofErr w:type="spellEnd"/>
      <w:r>
        <w:rPr>
          <w:sz w:val="28"/>
          <w:szCs w:val="28"/>
        </w:rPr>
        <w:t xml:space="preserve">) - це показник, зворотний трудовим витратам на виконання необхідних змін. </w:t>
      </w:r>
    </w:p>
    <w:p>
      <w:pPr>
        <w:pStyle w:val="Default"/>
        <w:jc w:val="both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▪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>стабільність (</w:t>
      </w:r>
      <w:proofErr w:type="spellStart"/>
      <w:r>
        <w:rPr>
          <w:sz w:val="28"/>
          <w:szCs w:val="28"/>
        </w:rPr>
        <w:t>stability</w:t>
      </w:r>
      <w:proofErr w:type="spellEnd"/>
      <w:r>
        <w:rPr>
          <w:sz w:val="28"/>
          <w:szCs w:val="28"/>
        </w:rPr>
        <w:t xml:space="preserve">) - показник, зворотний ризику виникнення несподіваних ефектів при внесенні необхідних змін; </w:t>
      </w:r>
    </w:p>
    <w:p>
      <w:pPr>
        <w:pStyle w:val="Default"/>
        <w:jc w:val="both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▪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>зручність перевірки (</w:t>
      </w:r>
      <w:proofErr w:type="spellStart"/>
      <w:r>
        <w:rPr>
          <w:sz w:val="28"/>
          <w:szCs w:val="28"/>
        </w:rPr>
        <w:t>testability</w:t>
      </w:r>
      <w:proofErr w:type="spellEnd"/>
      <w:r>
        <w:rPr>
          <w:sz w:val="28"/>
          <w:szCs w:val="28"/>
        </w:rPr>
        <w:t xml:space="preserve">) - це показник, зворотний трудовим витратам на проведення тестування і інших видів перевірки того, що внесені зміни привели до бажаних результатів; </w:t>
      </w:r>
    </w:p>
    <w:p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▪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>відповідність стандартам зручності супроводу (</w:t>
      </w:r>
      <w:proofErr w:type="spellStart"/>
      <w:r>
        <w:rPr>
          <w:sz w:val="28"/>
          <w:szCs w:val="28"/>
        </w:rPr>
        <w:t>maintainability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compliance</w:t>
      </w:r>
      <w:proofErr w:type="spellEnd"/>
      <w:r>
        <w:rPr>
          <w:sz w:val="28"/>
          <w:szCs w:val="28"/>
        </w:rPr>
        <w:t xml:space="preserve">) - атрибут почав враховуватись з 2001 року.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sectPr>
      <w:headerReference w:type="default" r:id="rId9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ОПІ. Практична робота №9-1. Взаємодія, еволюція програм і даних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B18B08"/>
    <w:multiLevelType w:val="hybridMultilevel"/>
    <w:tmpl w:val="DF6FA5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36761A"/>
    <w:multiLevelType w:val="hybridMultilevel"/>
    <w:tmpl w:val="268658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9D235"/>
    <w:multiLevelType w:val="hybridMultilevel"/>
    <w:tmpl w:val="8671DCE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ACDCBCC"/>
    <w:multiLevelType w:val="hybridMultilevel"/>
    <w:tmpl w:val="43AA98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3226460"/>
    <w:multiLevelType w:val="hybridMultilevel"/>
    <w:tmpl w:val="E006E6BC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A435600"/>
    <w:multiLevelType w:val="hybridMultilevel"/>
    <w:tmpl w:val="009235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8E243"/>
    <w:multiLevelType w:val="hybridMultilevel"/>
    <w:tmpl w:val="D81406C0"/>
    <w:lvl w:ilvl="0" w:tplc="FFFFFFFF">
      <w:start w:val="1"/>
      <w:numFmt w:val="bullet"/>
      <w:lvlText w:val="•"/>
      <w:lvlJc w:val="left"/>
    </w:lvl>
    <w:lvl w:ilvl="1" w:tplc="BD1815E7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F71D29-FDCD-422B-8499-95CF3A45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6184</Words>
  <Characters>3526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11</cp:revision>
  <dcterms:created xsi:type="dcterms:W3CDTF">2020-11-04T20:48:00Z</dcterms:created>
  <dcterms:modified xsi:type="dcterms:W3CDTF">2024-10-23T16:32:00Z</dcterms:modified>
</cp:coreProperties>
</file>