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</w:t>
      </w:r>
      <w:r>
        <w:rPr>
          <w:rFonts w:ascii="Times New Roman" w:hAnsi="Times New Roman" w:cs="Times New Roman"/>
          <w:sz w:val="28"/>
          <w:szCs w:val="28"/>
        </w:rPr>
        <w:t xml:space="preserve">в‘язку з можливістю роботи в комп‘ютерному класі для максимальної можливості такої нагоди окремі заняття переносяться на інший день, вони в розкладі помічені червоним 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992"/>
        <w:gridCol w:w="5699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16.10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GoBack" w:colFirst="5" w:colLast="5"/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bookmarkEnd w:id="2"/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3873</Words>
  <Characters>2209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28</cp:revision>
  <cp:lastPrinted>2021-01-25T19:42:00Z</cp:lastPrinted>
  <dcterms:created xsi:type="dcterms:W3CDTF">2024-07-16T15:09:00Z</dcterms:created>
  <dcterms:modified xsi:type="dcterms:W3CDTF">2024-10-18T18:38:00Z</dcterms:modified>
</cp:coreProperties>
</file>