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197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187"/>
        <w:gridCol w:w="1247"/>
        <w:gridCol w:w="1276"/>
        <w:gridCol w:w="1276"/>
        <w:gridCol w:w="1276"/>
        <w:gridCol w:w="992"/>
        <w:gridCol w:w="5699"/>
      </w:tblGrid>
      <w:tr>
        <w:trPr>
          <w:tblHeader/>
        </w:trPr>
        <w:tc>
          <w:tcPr>
            <w:tcW w:w="2244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2434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2552" w:type="dxa"/>
            <w:gridSpan w:val="2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ПЗ-32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87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167" w:type="dxa"/>
            <w:shd w:val="clear" w:color="auto" w:fill="FFFFFF" w:themeFill="background1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FFFFFF" w:themeFill="background1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1. ОСНОВИ ПРОГРАМНОЇ ІНЖЕНЕРІЇ</w:t>
            </w:r>
          </w:p>
        </w:tc>
      </w:tr>
      <w:tr>
        <w:tc>
          <w:tcPr>
            <w:tcW w:w="1167" w:type="dxa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програмної інженерії. Ядро знань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SWEBOK</w:t>
            </w:r>
          </w:p>
        </w:tc>
      </w:tr>
      <w:tr>
        <w:trPr>
          <w:trHeight w:val="379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ru-RU"/>
              </w:rPr>
              <w:t>Ядро професійних знань SWEBOK як основа проектування ПЗ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життєвого циклу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Стандарт і моделі життєвого циклу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Застосування стандарту і моделі життєвого циклу</w:t>
            </w:r>
          </w:p>
        </w:tc>
      </w:tr>
      <w:tr>
        <w:trPr>
          <w:trHeight w:val="25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Методи, засоби та інструменти програмної інженерії</w:t>
            </w:r>
          </w:p>
        </w:tc>
      </w:tr>
      <w:tr>
        <w:trPr>
          <w:trHeight w:val="338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Письмове опитування  за посиланням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https://docs.google.com/forms/d/e/1FAIpQLSfUdkbOsRfr2T0aO2B7LQtwh189_Yubxr4BTXMj_3sFPNlv7Q/viewform?usp=sf_link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206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Ознайомлення із засобами моделюванням програмного забезпечення за допомогою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-діаграм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Засоби попереднього моделювання</w:t>
            </w:r>
            <w:r>
              <w:rPr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моделювання)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highlight w:val="yellow"/>
              </w:rPr>
            </w:pPr>
            <w:bookmarkStart w:id="1" w:name="_Toc467866589"/>
            <w:bookmarkStart w:id="2" w:name="_Toc468314416"/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варіантів / випадків використання або прецедентів</w:t>
            </w:r>
            <w:bookmarkEnd w:id="1"/>
            <w:bookmarkEnd w:id="2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класів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діаграм послідовностей та діаграм кооперації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Узгодження діаграм прецедентів, класів та послідовностей.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Діаграма станів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Default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Поточне опитування.</w:t>
            </w:r>
          </w:p>
          <w:p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  <w:lang w:val="en-US"/>
              </w:rPr>
              <w:t>https</w:t>
            </w:r>
            <w:r>
              <w:rPr>
                <w:b/>
                <w:color w:val="0070C0"/>
                <w:sz w:val="28"/>
                <w:szCs w:val="28"/>
              </w:rPr>
              <w:t>://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docs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google</w:t>
            </w:r>
            <w:r>
              <w:rPr>
                <w:b/>
                <w:color w:val="0070C0"/>
                <w:sz w:val="28"/>
                <w:szCs w:val="28"/>
              </w:rPr>
              <w:t>.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com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forms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d</w:t>
            </w:r>
            <w:r>
              <w:rPr>
                <w:b/>
                <w:color w:val="0070C0"/>
                <w:sz w:val="28"/>
                <w:szCs w:val="28"/>
              </w:rPr>
              <w:t>/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e</w:t>
            </w:r>
            <w:r>
              <w:rPr>
                <w:b/>
                <w:color w:val="0070C0"/>
                <w:sz w:val="28"/>
                <w:szCs w:val="28"/>
              </w:rPr>
              <w:t>/1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FAIpQLSfFpxDzpYdp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u</w:t>
            </w:r>
            <w:r>
              <w:rPr>
                <w:b/>
                <w:color w:val="0070C0"/>
                <w:sz w:val="28"/>
                <w:szCs w:val="28"/>
              </w:rPr>
              <w:t>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ZKkPt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16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b</w:t>
            </w:r>
            <w:r>
              <w:rPr>
                <w:b/>
                <w:color w:val="0070C0"/>
                <w:sz w:val="28"/>
                <w:szCs w:val="28"/>
              </w:rPr>
              <w:t>-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m</w:t>
            </w:r>
            <w:r>
              <w:rPr>
                <w:b/>
                <w:color w:val="0070C0"/>
                <w:sz w:val="28"/>
                <w:szCs w:val="28"/>
              </w:rPr>
              <w:t>_1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hdQy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VJsN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21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LyxgKUNngGNg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/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viewform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?</w:t>
            </w:r>
            <w:proofErr w:type="spellStart"/>
            <w:r>
              <w:rPr>
                <w:b/>
                <w:color w:val="0070C0"/>
                <w:sz w:val="28"/>
                <w:szCs w:val="28"/>
                <w:lang w:val="en-US"/>
              </w:rPr>
              <w:t>usp</w:t>
            </w:r>
            <w:proofErr w:type="spellEnd"/>
            <w:r>
              <w:rPr>
                <w:b/>
                <w:color w:val="0070C0"/>
                <w:sz w:val="28"/>
                <w:szCs w:val="28"/>
              </w:rPr>
              <w:t>=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sf</w:t>
            </w:r>
            <w:r>
              <w:rPr>
                <w:b/>
                <w:color w:val="0070C0"/>
                <w:sz w:val="28"/>
                <w:szCs w:val="28"/>
              </w:rPr>
              <w:t>_</w:t>
            </w:r>
            <w:r>
              <w:rPr>
                <w:b/>
                <w:color w:val="0070C0"/>
                <w:sz w:val="28"/>
                <w:szCs w:val="28"/>
                <w:lang w:val="en-US"/>
              </w:rPr>
              <w:t>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діаграми діяльності та її зв’язок з іншими діаграмами поведінки</w:t>
            </w:r>
            <w:r>
              <w:rPr>
                <w:rFonts w:ascii="Times New Roman" w:hAnsi="Times New Roman" w:cs="Times New Roman"/>
                <w:b/>
                <w:color w:val="4F6228" w:themeColor="accent3" w:themeShade="80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Style w:val="st"/>
                <w:rFonts w:ascii="Times New Roman" w:hAnsi="Times New Roman" w:cs="Times New Roman"/>
                <w:sz w:val="28"/>
                <w:szCs w:val="28"/>
              </w:rPr>
              <w:t xml:space="preserve">Фізичне представлення моделей систем в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UML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 xml:space="preserve">Побудова </w:t>
            </w:r>
            <w:r>
              <w:rPr>
                <w:rStyle w:val="a5"/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Style w:val="a5"/>
                <w:rFonts w:ascii="Times New Roman" w:hAnsi="Times New Roman" w:cs="Times New Roman"/>
                <w:i w:val="0"/>
                <w:sz w:val="28"/>
                <w:szCs w:val="28"/>
              </w:rPr>
              <w:t>діаграм</w:t>
            </w: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компонентів та розгортання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з UML у вигляді тестування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shd w:val="clear" w:color="auto" w:fill="FFFFFF" w:themeFill="background1"/>
              </w:rPr>
              <w:t>https://docs.google.com/forms/d/e/1FAIpQLSfw4fw38kTYIBfap1hJoiSKxEsR51VhLoTuJIvASkdm5f45tw/viewform?usp=sf_link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Інженерія вимог. Визначення вимог до програмних систем.</w:t>
            </w:r>
          </w:p>
        </w:tc>
      </w:tr>
      <w:tr>
        <w:trPr>
          <w:trHeight w:val="192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943634" w:themeColor="accent2" w:themeShade="BF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Розгляд процесу визначення вимог до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вимог до програмних систем. Розроблення функціональних та нефункціональних вимог до ПЗ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Р04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вимог до програмних систем.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Оформлення вимог.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>Тематичне опитування (</w:t>
            </w:r>
            <w:r>
              <w:rPr>
                <w:color w:val="FF0000"/>
              </w:rPr>
              <w:t>ОПІ-3 курс Тест 2</w:t>
            </w:r>
            <w:r>
              <w:t>)</w:t>
            </w:r>
          </w:p>
          <w:p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0070C0"/>
                <w:sz w:val="28"/>
                <w:szCs w:val="28"/>
              </w:rPr>
              <w:t>https://docs.google.com/forms/d/e/1FAIpQLSdCZ6_uqWKAnsmA8Sfy_DOpAjKZa_Tm5FrdJ2-RtkqK8CsGSQ/viewform?usp=sf_link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>
        <w:tc>
          <w:tcPr>
            <w:tcW w:w="116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EAF1DD" w:themeFill="accent3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AF1DD" w:themeFill="accent3" w:themeFillTint="33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color w:val="FF000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Розділ 2. ОСНОВНІ ПРОЦЕСИ РОЗРОБКИ ПРОГРАМНОГО ЗАБЕЗПЕЧЕННЯ ТА УПРАВЛІННЯ НИМИ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Процес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Методологія розробки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Управління програмними проектами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Р05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Управління програмними проектами. Розроблення діаграми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Супровід програмного забезпечення та керування конфігурацією.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</w:rPr>
              <w:t xml:space="preserve"> Тематичне опитування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 xml:space="preserve"> (</w:t>
            </w:r>
            <w:r>
              <w:t>ОПІ 3 курс підсумковий тест розділи 1-2</w:t>
            </w:r>
            <w:r>
              <w:rPr>
                <w:rFonts w:ascii="Times New Roman" w:eastAsia="Calibri" w:hAnsi="Times New Roman" w:cs="Times New Roman"/>
                <w:color w:val="FF0000"/>
                <w:sz w:val="28"/>
                <w:szCs w:val="28"/>
                <w:lang w:val="ru-RU"/>
              </w:rPr>
              <w:t>)</w:t>
            </w:r>
          </w:p>
          <w:p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https://docs.google.com/forms/d/e/1FAIpQLScz4HjkZ-lmtryOUNHY9yDOi7SezaEuzhXdjK2COh7H0ZWlOg/viewform?usp=sf_link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  <w:t>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методів супроводу програмного забезпечення</w:t>
            </w:r>
          </w:p>
          <w:p>
            <w:pPr>
              <w:rPr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Залік</w:t>
            </w:r>
            <w:r>
              <w:rPr>
                <w:b/>
                <w:color w:val="FF0000"/>
                <w:sz w:val="28"/>
                <w:szCs w:val="28"/>
              </w:rPr>
              <w:t xml:space="preserve"> Контрольна робота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https://docs.google.com/forms/d/e/1FAIpQLSfbmUZRh_jdTTbrSBERQ0iCNbpz9gtc6IGSpuuhVlCxK_Vb_w/viewform?usp=sf_link</w:t>
            </w:r>
          </w:p>
        </w:tc>
      </w:tr>
      <w:tr>
        <w:tc>
          <w:tcPr>
            <w:tcW w:w="116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B2A1C7" w:themeFill="accent4" w:themeFillTint="9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B2A1C7" w:themeFill="accent4" w:themeFillTint="99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3. МЕТОДИ ДОВЕДЕННЯ, ВЕРИФІКАЦІЇ І ТЕСТУВАННЯ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Методи доведення правильності програм. Верифікація і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en-US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Визначення процесу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валідації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верифікації програмного продукту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забезпечення, забезпечення якості і надійності програмних систем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Процес тестування програмного забезпечення. Розроблення плану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тестування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вимог до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7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 тестування програмного коду застосунку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програми приймальних випробувань)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ЛР07-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5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Приймальні випробування (формування плану приймальних випробувань).</w:t>
            </w:r>
          </w:p>
        </w:tc>
      </w:tr>
      <w:tr>
        <w:trPr>
          <w:trHeight w:val="214"/>
        </w:trP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13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6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Поняття та методи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рефакторингу</w:t>
            </w:r>
            <w:proofErr w:type="spellEnd"/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тестування 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https://docs.google.com/forms/d/e/1FAIpQLSf2uclcvnJnu_on3iQ5EBH7GgKskPzgx_w-3NgwpH8uH4Kf4g/viewform?usp=sf_link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Розділ 4. ВИРОБНИЦТВО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Л14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Конструювання програмного забезпечення як складова програмної інженерії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ПР08-1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Побудова функціональної, структурної та укрупненої схеми архітектури програмної системи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Л15</w:t>
            </w:r>
          </w:p>
        </w:tc>
        <w:tc>
          <w:tcPr>
            <w:tcW w:w="992" w:type="dxa"/>
            <w:shd w:val="clear" w:color="auto" w:fill="auto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99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Методи об‘єктного аналізу та моделювання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Л16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Архітектура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ЛР08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Архітектура програмного забезпечення.</w:t>
            </w:r>
            <w:r>
              <w:rPr>
                <w:rFonts w:ascii="Times New Roman" w:hAnsi="Times New Roman" w:cs="Times New Roman"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Style w:val="longtext"/>
                <w:rFonts w:ascii="Times New Roman" w:hAnsi="Times New Roman" w:cs="Times New Roman"/>
                <w:sz w:val="28"/>
                <w:szCs w:val="28"/>
              </w:rPr>
              <w:t>Застосування шаблонів проектування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Л17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Системна інтеграція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8-2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Планування системної інтеграції 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Л18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09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Визначення складу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інтерфейсу користувача.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Проектування інтерфейсу з орієнтацією на користувача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Л19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Планування подальшого розвитку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програмного забезпечення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Л20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pStyle w:val="1"/>
              <w:outlineLvl w:val="0"/>
              <w:rPr>
                <w:b w:val="0"/>
                <w:sz w:val="28"/>
                <w:szCs w:val="28"/>
                <w:lang w:val="en-US"/>
              </w:rPr>
            </w:pPr>
            <w:r>
              <w:rPr>
                <w:b w:val="0"/>
                <w:sz w:val="28"/>
                <w:szCs w:val="28"/>
              </w:rPr>
              <w:t>Компоненти повторного використання</w:t>
            </w:r>
            <w:r>
              <w:rPr>
                <w:b w:val="0"/>
                <w:sz w:val="28"/>
                <w:szCs w:val="28"/>
                <w:lang w:val="en-US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9-2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Аналіз можливості застосування компонентів повторного використання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Л21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Індустріальне виробництво програмних продуктів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індустріальним виробництвом програмних продуктів</w:t>
            </w:r>
          </w:p>
        </w:tc>
      </w:tr>
      <w:tr>
        <w:tc>
          <w:tcPr>
            <w:tcW w:w="116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highlight w:val="yellow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10-1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Технології розподіленої обробки даних.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Kubernetes</w:t>
            </w:r>
            <w:proofErr w:type="spellEnd"/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</w:rPr>
              <w:t>Методи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Порівняння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етодологій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розробки програмного забезпечення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Р10-2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Вибір методів керування програмним проектом. 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color w:val="00B05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DevOps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методики розробки і безперервної доставки версій програмного продукту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Л23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конфігурацією.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ПР12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Ознайомлення з методами керування програмним проектом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ЛР11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Визначення ризиків та керування ризиками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https://docs.google.com/forms/d/e/1FAIpQLSc8eLHSe0aA6c16_KnwdR7eZHnl9zH9RwdI6eSwdgwAHg69hw/viewform?usp=sf_link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  <w:lang w:val="ru-RU"/>
              </w:rPr>
              <w:t>Л</w:t>
            </w:r>
            <w:r>
              <w:rPr>
                <w:rFonts w:ascii="Times New Roman" w:hAnsi="Times New Roman" w:cs="Times New Roman"/>
                <w:b/>
                <w:color w:val="00B050"/>
                <w:sz w:val="28"/>
                <w:szCs w:val="28"/>
              </w:rPr>
              <w:t>Р12</w:t>
            </w: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Керування розробкою ПЗ. Керування ризиками. Керування конфігурацією</w:t>
            </w:r>
          </w:p>
        </w:tc>
      </w:tr>
      <w:tr>
        <w:tc>
          <w:tcPr>
            <w:tcW w:w="116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>
            <w:pPr>
              <w:pStyle w:val="a4"/>
              <w:numPr>
                <w:ilvl w:val="0"/>
                <w:numId w:val="8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699" w:type="dxa"/>
            <w:vAlign w:val="center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Іспит</w:t>
            </w:r>
          </w:p>
        </w:tc>
      </w:tr>
    </w:tbl>
    <w:p/>
    <w:p/>
    <w:sectPr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478DC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73388"/>
    <w:multiLevelType w:val="hybridMultilevel"/>
    <w:tmpl w:val="4992E52C"/>
    <w:lvl w:ilvl="0" w:tplc="9A925438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73B86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430F7"/>
    <w:multiLevelType w:val="hybridMultilevel"/>
    <w:tmpl w:val="7CAEB6C0"/>
    <w:lvl w:ilvl="0" w:tplc="37C886F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63E85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4F42C6"/>
    <w:multiLevelType w:val="hybridMultilevel"/>
    <w:tmpl w:val="D7880FCA"/>
    <w:lvl w:ilvl="0" w:tplc="7D4C63D0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AFB"/>
    <w:multiLevelType w:val="hybridMultilevel"/>
    <w:tmpl w:val="F93AB886"/>
    <w:lvl w:ilvl="0" w:tplc="16F40576">
      <w:start w:val="10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108614-9DD1-4E2A-84DC-3B6F3B8AD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styleId="a5">
    <w:name w:val="Emphasis"/>
    <w:basedOn w:val="a0"/>
    <w:uiPriority w:val="20"/>
    <w:qFormat/>
    <w:rPr>
      <w:i/>
      <w:iCs/>
    </w:rPr>
  </w:style>
  <w:style w:type="character" w:customStyle="1" w:styleId="st">
    <w:name w:val="st"/>
    <w:basedOn w:val="a0"/>
  </w:style>
  <w:style w:type="character" w:customStyle="1" w:styleId="10">
    <w:name w:val="Заголовок 1 Знак"/>
    <w:basedOn w:val="a0"/>
    <w:link w:val="1"/>
    <w:uiPriority w:val="9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</w:style>
  <w:style w:type="character" w:styleId="a6">
    <w:name w:val="Hyperlink"/>
    <w:basedOn w:val="a0"/>
    <w:uiPriority w:val="99"/>
    <w:unhideWhenUsed/>
    <w:rPr>
      <w:color w:val="0000FF"/>
      <w:u w:val="single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longtext">
    <w:name w:val="long_text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3584</Words>
  <Characters>2043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11</cp:revision>
  <cp:lastPrinted>2021-01-25T19:42:00Z</cp:lastPrinted>
  <dcterms:created xsi:type="dcterms:W3CDTF">2024-07-16T15:09:00Z</dcterms:created>
  <dcterms:modified xsi:type="dcterms:W3CDTF">2024-09-05T16:30:00Z</dcterms:modified>
</cp:coreProperties>
</file>