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Прототипування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Набуття навичок проектування графічного інтерфейсу користувача з використовуванням прототипування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Поясніть, чому для розробки великих систем рекомендується експериментальне прототипування.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У яких обставинах ви рекомендували б прототипування як засіб обґрунтування системних вимог?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Опишіть труднощі, які можуть виникнути при прототипуванні вбудованих комп'ютерних систем реального часу.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F803AE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41 -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1, 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</w:t>
      </w:r>
      <w:r w:rsidR="005713D4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="005713D4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21.</w:t>
      </w:r>
    </w:p>
    <w:p w:rsidR="00A377C2" w:rsidRDefault="00A377C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 ЛР№13 </w:t>
      </w:r>
    </w:p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поданні інформації  щодо складових методології (рис.4 ЛР№13) доцільно використовувати групування в таблицях (складання таблиць входило у завдання).</w:t>
      </w:r>
    </w:p>
    <w:tbl>
      <w:tblPr>
        <w:tblStyle w:val="ac"/>
        <w:tblW w:w="0" w:type="auto"/>
        <w:tblLook w:val="04A0"/>
      </w:tblPr>
      <w:tblGrid>
        <w:gridCol w:w="3285"/>
        <w:gridCol w:w="3285"/>
        <w:gridCol w:w="3285"/>
      </w:tblGrid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Ролі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Уміння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графі 1 визначаєте групи 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із визначенням їх ролей (наприклад, дизайнери, розробники документації, тестери та ін.)</w:t>
      </w:r>
      <w:r>
        <w:rPr>
          <w:rFonts w:ascii="Times New Roman" w:hAnsi="Times New Roman" w:cs="Times New Roman"/>
          <w:sz w:val="28"/>
          <w:szCs w:val="28"/>
        </w:rPr>
        <w:t>, в графі 2 перелік посад по цих групах (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наприклад, менеджер проекту, тестувальник, розробник інтерфейсу та ін.)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графі 3 </w:t>
      </w:r>
      <w:r w:rsidRPr="00A377C2">
        <w:rPr>
          <w:rFonts w:ascii="Times New Roman" w:hAnsi="Times New Roman" w:cs="Times New Roman"/>
          <w:sz w:val="28"/>
          <w:szCs w:val="28"/>
        </w:rPr>
        <w:t>навички, які повинні мати претенденти на посаду</w:t>
      </w:r>
      <w:r>
        <w:rPr>
          <w:rFonts w:ascii="Times New Roman" w:hAnsi="Times New Roman" w:cs="Times New Roman"/>
          <w:sz w:val="28"/>
          <w:szCs w:val="28"/>
        </w:rPr>
        <w:t xml:space="preserve"> (у відповідному рядку, наприклад, розробник інтерфейсу – 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7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тощо).</w:t>
      </w:r>
    </w:p>
    <w:p w:rsidR="00A377C2" w:rsidRPr="00A377C2" w:rsidRDefault="00A377C2" w:rsidP="002C3F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Аналогічні таблиці доцільно скласти для придання </w:t>
      </w:r>
      <w:r w:rsidR="002C3FD9">
        <w:rPr>
          <w:rFonts w:ascii="Times New Roman" w:hAnsi="Times New Roman" w:cs="Times New Roman"/>
          <w:sz w:val="28"/>
          <w:szCs w:val="28"/>
        </w:rPr>
        <w:t>інформації щодо Видів діяльності – Технік – Інструментів, а також Якості – Продуктів – Стандартів.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Через широкі можливості Web-броузерів і потужності мови HTML у цей час усе більше користувацьких інтерфейсів будуються як Web-орієнтовані. Такі </w:t>
      </w:r>
      <w:r w:rsidRPr="00916504">
        <w:rPr>
          <w:sz w:val="28"/>
          <w:szCs w:val="28"/>
        </w:rPr>
        <w:lastRenderedPageBreak/>
        <w:t>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2) командні режими, мову «користувач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>–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lastRenderedPageBreak/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</w:t>
      </w:r>
      <w:r w:rsidRPr="00DB0E7B">
        <w:rPr>
          <w:sz w:val="28"/>
          <w:szCs w:val="28"/>
        </w:rPr>
        <w:lastRenderedPageBreak/>
        <w:t xml:space="preserve">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</w:t>
            </w:r>
            <w:r w:rsidRPr="00D701D2">
              <w:rPr>
                <w:sz w:val="28"/>
                <w:szCs w:val="28"/>
              </w:rPr>
              <w:lastRenderedPageBreak/>
              <w:t xml:space="preserve">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lastRenderedPageBreak/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lastRenderedPageBreak/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</w:t>
      </w:r>
      <w:r w:rsidR="0029015E">
        <w:rPr>
          <w:sz w:val="28"/>
          <w:szCs w:val="28"/>
        </w:rPr>
        <w:t>ну</w:t>
      </w:r>
      <w:r w:rsidRPr="00D701D2">
        <w:rPr>
          <w:sz w:val="28"/>
          <w:szCs w:val="28"/>
        </w:rPr>
        <w:t xml:space="preserve">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</w:t>
      </w:r>
      <w:r w:rsidRPr="00D701D2">
        <w:rPr>
          <w:sz w:val="28"/>
          <w:szCs w:val="28"/>
        </w:rPr>
        <w:lastRenderedPageBreak/>
        <w:t xml:space="preserve">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 xml:space="preserve"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</w:t>
      </w:r>
      <w:r w:rsidR="0029015E">
        <w:rPr>
          <w:rFonts w:ascii="Times New Roman" w:hAnsi="Times New Roman" w:cs="Times New Roman"/>
          <w:sz w:val="28"/>
          <w:szCs w:val="28"/>
        </w:rPr>
        <w:t xml:space="preserve">графічних </w:t>
      </w:r>
      <w:r w:rsidRPr="00D701D2">
        <w:rPr>
          <w:rFonts w:ascii="Times New Roman" w:hAnsi="Times New Roman" w:cs="Times New Roman"/>
          <w:sz w:val="28"/>
          <w:szCs w:val="28"/>
        </w:rPr>
        <w:t>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F026C6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скорочує час навчання користувача;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lastRenderedPageBreak/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215065" w:rsidP="00215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52850" cy="2748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2" t="20954" r="34318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A9A" w:rsidRDefault="00211A9A" w:rsidP="00F803AE">
      <w:pPr>
        <w:spacing w:after="0" w:line="240" w:lineRule="auto"/>
      </w:pPr>
      <w:r>
        <w:separator/>
      </w:r>
    </w:p>
  </w:endnote>
  <w:endnote w:type="continuationSeparator" w:id="0">
    <w:p w:rsidR="00211A9A" w:rsidRDefault="00211A9A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B00C2C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29015E" w:rsidRPr="0029015E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A9A" w:rsidRDefault="00211A9A" w:rsidP="00F803AE">
      <w:pPr>
        <w:spacing w:after="0" w:line="240" w:lineRule="auto"/>
      </w:pPr>
      <w:r>
        <w:separator/>
      </w:r>
    </w:p>
  </w:footnote>
  <w:footnote w:type="continuationSeparator" w:id="0">
    <w:p w:rsidR="00211A9A" w:rsidRDefault="00211A9A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91E64"/>
    <w:rsid w:val="00211A9A"/>
    <w:rsid w:val="00215065"/>
    <w:rsid w:val="0029015E"/>
    <w:rsid w:val="002B5EFA"/>
    <w:rsid w:val="002C3FD9"/>
    <w:rsid w:val="002D197C"/>
    <w:rsid w:val="00374FA9"/>
    <w:rsid w:val="005713D4"/>
    <w:rsid w:val="00583A08"/>
    <w:rsid w:val="00794774"/>
    <w:rsid w:val="00796438"/>
    <w:rsid w:val="007A34C1"/>
    <w:rsid w:val="007D1A53"/>
    <w:rsid w:val="00901980"/>
    <w:rsid w:val="00916504"/>
    <w:rsid w:val="009E40A7"/>
    <w:rsid w:val="00A377C2"/>
    <w:rsid w:val="00A552DA"/>
    <w:rsid w:val="00AD7192"/>
    <w:rsid w:val="00AE6CC1"/>
    <w:rsid w:val="00B00C2C"/>
    <w:rsid w:val="00B53141"/>
    <w:rsid w:val="00B82FEC"/>
    <w:rsid w:val="00D41C4C"/>
    <w:rsid w:val="00D701D2"/>
    <w:rsid w:val="00DB0E7B"/>
    <w:rsid w:val="00DF4B1C"/>
    <w:rsid w:val="00E12A9D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17633</Words>
  <Characters>10052</Characters>
  <Application>Microsoft Office Word</Application>
  <DocSecurity>0</DocSecurity>
  <Lines>83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2020-05-04T16:39:00Z</dcterms:created>
  <dcterms:modified xsi:type="dcterms:W3CDTF">2021-03-29T14:42:00Z</dcterms:modified>
</cp:coreProperties>
</file>