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9C1" w:rsidRPr="00DF7305" w:rsidRDefault="006024E1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DF730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Лабораторна робота №</w:t>
      </w:r>
      <w:r w:rsidR="002A33F0" w:rsidRPr="00DF730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8</w:t>
      </w:r>
      <w:r w:rsidRPr="00DF730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 w:rsidRPr="00DF7305">
        <w:rPr>
          <w:rFonts w:ascii="Times New Roman" w:hAnsi="Times New Roman" w:cs="Times New Roman"/>
          <w:lang w:val="uk-UA"/>
        </w:rPr>
        <w:t xml:space="preserve"> </w:t>
      </w:r>
      <w:r w:rsidR="002A33F0" w:rsidRPr="00DF7305">
        <w:rPr>
          <w:rFonts w:ascii="Times New Roman" w:hAnsi="Times New Roman" w:cs="Times New Roman"/>
          <w:b/>
          <w:sz w:val="28"/>
          <w:szCs w:val="28"/>
          <w:lang w:val="uk-UA"/>
        </w:rPr>
        <w:t>Процеси розробки програмного забезпечення.</w:t>
      </w:r>
      <w:r w:rsidR="002A33F0" w:rsidRPr="00DF73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33F0" w:rsidRPr="00DF73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Визначення складу основних процесів розробки ПЗ за </w:t>
      </w:r>
      <w:r w:rsidR="002A33F0" w:rsidRPr="00DF7305">
        <w:rPr>
          <w:rFonts w:ascii="Times New Roman" w:eastAsia="CIDFont+F1" w:hAnsi="Times New Roman" w:cs="Times New Roman"/>
          <w:b/>
          <w:sz w:val="28"/>
          <w:szCs w:val="28"/>
          <w:lang w:val="uk-UA"/>
        </w:rPr>
        <w:t>ДСТУ ISO/IEC/IEEE 12207:2018</w:t>
      </w:r>
      <w:r w:rsidR="001F6EC4" w:rsidRPr="00DF7305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F6EC4" w:rsidRPr="00DF7305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DF7305">
        <w:rPr>
          <w:rFonts w:ascii="Times New Roman" w:hAnsi="Times New Roman" w:cs="Times New Roman"/>
          <w:bCs/>
          <w:iCs/>
          <w:sz w:val="28"/>
          <w:szCs w:val="28"/>
          <w:lang w:val="uk-UA"/>
        </w:rPr>
        <w:t>(2 год.)</w:t>
      </w:r>
    </w:p>
    <w:p w:rsidR="001F6EC4" w:rsidRPr="00DF7305" w:rsidRDefault="001F6EC4" w:rsidP="001521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7305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DF7305">
        <w:rPr>
          <w:rFonts w:ascii="Times New Roman" w:hAnsi="Times New Roman" w:cs="Times New Roman"/>
          <w:sz w:val="28"/>
          <w:szCs w:val="28"/>
          <w:lang w:val="uk-UA"/>
        </w:rPr>
        <w:t xml:space="preserve">: засвоєння навичок </w:t>
      </w:r>
      <w:r w:rsidR="00EA4A6A" w:rsidRPr="00DF7305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складу основних процесів розробки ПЗ за </w:t>
      </w:r>
      <w:r w:rsidR="00EA4A6A" w:rsidRPr="00DF7305">
        <w:rPr>
          <w:rFonts w:ascii="Times New Roman" w:eastAsia="CIDFont+F1" w:hAnsi="Times New Roman" w:cs="Times New Roman"/>
          <w:sz w:val="28"/>
          <w:szCs w:val="28"/>
          <w:lang w:val="uk-UA"/>
        </w:rPr>
        <w:t>ДСТУ ISO/IEC/IEEE 12207:2018</w:t>
      </w:r>
    </w:p>
    <w:p w:rsidR="001F6EC4" w:rsidRPr="00DF7305" w:rsidRDefault="001F6EC4" w:rsidP="001521BF">
      <w:pPr>
        <w:spacing w:after="0" w:line="240" w:lineRule="auto"/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</w:pPr>
      <w:r w:rsidRPr="00DF7305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C87471" w:rsidRPr="00DF7305" w:rsidRDefault="00C87471" w:rsidP="001521B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DF7305">
        <w:rPr>
          <w:rStyle w:val="longtext"/>
          <w:rFonts w:cs="Times New Roman"/>
          <w:szCs w:val="28"/>
        </w:rPr>
        <w:t>Ознайомитися з теоретичною частиною</w:t>
      </w:r>
    </w:p>
    <w:p w:rsidR="00C87471" w:rsidRPr="00DF7305" w:rsidRDefault="00DF7305" w:rsidP="001521B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DF7305">
        <w:rPr>
          <w:rStyle w:val="longtext"/>
          <w:rFonts w:cs="Times New Roman"/>
          <w:szCs w:val="28"/>
        </w:rPr>
        <w:t xml:space="preserve">Для власного проекту визначте склад робіт для одного з основних процесів </w:t>
      </w:r>
      <w:r w:rsidRPr="00DF7305">
        <w:rPr>
          <w:rFonts w:cs="Times New Roman"/>
          <w:szCs w:val="28"/>
        </w:rPr>
        <w:t xml:space="preserve">розробки ПЗ за </w:t>
      </w:r>
      <w:r w:rsidRPr="00DF7305">
        <w:rPr>
          <w:rFonts w:eastAsia="CIDFont+F1" w:cs="Times New Roman"/>
          <w:szCs w:val="28"/>
        </w:rPr>
        <w:t xml:space="preserve">ДСТУ ISO/IEC/IEEE 12207:2018, надавши пояснення, </w:t>
      </w:r>
      <w:r>
        <w:rPr>
          <w:rFonts w:eastAsia="CIDFont+F1" w:cs="Times New Roman"/>
          <w:szCs w:val="28"/>
        </w:rPr>
        <w:t>щодо мети виконання цих дій і очікуваного результату.</w:t>
      </w:r>
    </w:p>
    <w:p w:rsidR="001F6EC4" w:rsidRDefault="00DF7305" w:rsidP="001521B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>
        <w:rPr>
          <w:rStyle w:val="longtext"/>
          <w:rFonts w:cs="Times New Roman"/>
          <w:szCs w:val="28"/>
        </w:rPr>
        <w:t>Результати оформити у вигляді таблиці:</w:t>
      </w:r>
    </w:p>
    <w:p w:rsidR="00DF7305" w:rsidRDefault="00DF7305" w:rsidP="00DF7305">
      <w:pPr>
        <w:spacing w:after="0" w:line="240" w:lineRule="auto"/>
        <w:jc w:val="both"/>
        <w:rPr>
          <w:rStyle w:val="longtext"/>
          <w:rFonts w:cs="Times New Roman"/>
          <w:szCs w:val="28"/>
          <w:lang w:val="uk-UA"/>
        </w:rPr>
      </w:pPr>
    </w:p>
    <w:tbl>
      <w:tblPr>
        <w:tblStyle w:val="ad"/>
        <w:tblW w:w="0" w:type="auto"/>
        <w:tblLook w:val="04A0"/>
      </w:tblPr>
      <w:tblGrid>
        <w:gridCol w:w="790"/>
        <w:gridCol w:w="2938"/>
        <w:gridCol w:w="3077"/>
        <w:gridCol w:w="3383"/>
      </w:tblGrid>
      <w:tr w:rsidR="00DF7305" w:rsidTr="00B6407B">
        <w:tc>
          <w:tcPr>
            <w:tcW w:w="10188" w:type="dxa"/>
            <w:gridSpan w:val="4"/>
          </w:tcPr>
          <w:p w:rsidR="00DF7305" w:rsidRPr="00096E7C" w:rsidRDefault="00DF7305" w:rsidP="00012785">
            <w:pPr>
              <w:jc w:val="center"/>
              <w:rPr>
                <w:rStyle w:val="longtext"/>
                <w:rFonts w:cs="Times New Roman"/>
                <w:sz w:val="28"/>
                <w:szCs w:val="28"/>
              </w:rPr>
            </w:pPr>
            <w:r w:rsidRPr="00096E7C">
              <w:rPr>
                <w:rStyle w:val="longtext"/>
                <w:rFonts w:cs="Times New Roman"/>
                <w:sz w:val="28"/>
                <w:szCs w:val="28"/>
              </w:rPr>
              <w:t>&lt;</w:t>
            </w:r>
            <w:r w:rsidRPr="00096E7C">
              <w:rPr>
                <w:rStyle w:val="longtext"/>
                <w:rFonts w:cs="Times New Roman"/>
                <w:sz w:val="28"/>
                <w:szCs w:val="28"/>
                <w:lang w:val="uk-UA"/>
              </w:rPr>
              <w:t xml:space="preserve">Назва обораного основного процесу </w:t>
            </w:r>
            <w:r w:rsidRPr="00096E7C">
              <w:rPr>
                <w:rStyle w:val="longtext"/>
                <w:rFonts w:cs="Times New Roman"/>
                <w:sz w:val="28"/>
                <w:szCs w:val="28"/>
              </w:rPr>
              <w:t>&gt;</w:t>
            </w:r>
          </w:p>
        </w:tc>
      </w:tr>
      <w:tr w:rsidR="00DF7305" w:rsidTr="00096E7C">
        <w:tc>
          <w:tcPr>
            <w:tcW w:w="790" w:type="dxa"/>
          </w:tcPr>
          <w:p w:rsidR="00DF7305" w:rsidRPr="00096E7C" w:rsidRDefault="00096E7C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  <w:r w:rsidRPr="00096E7C">
              <w:rPr>
                <w:rStyle w:val="longtext"/>
                <w:rFonts w:cs="Times New Roman"/>
                <w:sz w:val="28"/>
                <w:szCs w:val="28"/>
                <w:lang w:val="uk-UA"/>
              </w:rPr>
              <w:t>№№</w:t>
            </w:r>
          </w:p>
        </w:tc>
        <w:tc>
          <w:tcPr>
            <w:tcW w:w="2938" w:type="dxa"/>
          </w:tcPr>
          <w:p w:rsidR="00DF7305" w:rsidRPr="00096E7C" w:rsidRDefault="00012785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  <w:r w:rsidRPr="00096E7C">
              <w:rPr>
                <w:rStyle w:val="longtext"/>
                <w:rFonts w:cs="Times New Roman"/>
                <w:sz w:val="28"/>
                <w:szCs w:val="28"/>
                <w:lang w:val="uk-UA"/>
              </w:rPr>
              <w:t>Вид робіт</w:t>
            </w:r>
          </w:p>
        </w:tc>
        <w:tc>
          <w:tcPr>
            <w:tcW w:w="3077" w:type="dxa"/>
          </w:tcPr>
          <w:p w:rsidR="00DF7305" w:rsidRPr="00096E7C" w:rsidRDefault="00096E7C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  <w:r w:rsidRPr="00096E7C">
              <w:rPr>
                <w:rStyle w:val="longtext"/>
                <w:rFonts w:cs="Times New Roman"/>
                <w:sz w:val="28"/>
                <w:szCs w:val="28"/>
                <w:lang w:val="uk-UA"/>
              </w:rPr>
              <w:t>Мета дій</w:t>
            </w:r>
          </w:p>
        </w:tc>
        <w:tc>
          <w:tcPr>
            <w:tcW w:w="3383" w:type="dxa"/>
          </w:tcPr>
          <w:p w:rsidR="00DF7305" w:rsidRPr="00096E7C" w:rsidRDefault="00096E7C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  <w:r w:rsidRPr="00096E7C">
              <w:rPr>
                <w:rStyle w:val="longtext"/>
                <w:rFonts w:cs="Times New Roman"/>
                <w:sz w:val="28"/>
                <w:szCs w:val="28"/>
                <w:lang w:val="uk-UA"/>
              </w:rPr>
              <w:t>Очікуваний результат</w:t>
            </w:r>
          </w:p>
        </w:tc>
      </w:tr>
      <w:tr w:rsidR="00DF7305" w:rsidTr="00096E7C">
        <w:tc>
          <w:tcPr>
            <w:tcW w:w="790" w:type="dxa"/>
          </w:tcPr>
          <w:p w:rsidR="00DF7305" w:rsidRPr="00096E7C" w:rsidRDefault="00DF7305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</w:p>
        </w:tc>
        <w:tc>
          <w:tcPr>
            <w:tcW w:w="2938" w:type="dxa"/>
          </w:tcPr>
          <w:p w:rsidR="00DF7305" w:rsidRPr="00096E7C" w:rsidRDefault="00DF7305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</w:p>
        </w:tc>
        <w:tc>
          <w:tcPr>
            <w:tcW w:w="3077" w:type="dxa"/>
          </w:tcPr>
          <w:p w:rsidR="00DF7305" w:rsidRPr="00096E7C" w:rsidRDefault="00DF7305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</w:p>
        </w:tc>
        <w:tc>
          <w:tcPr>
            <w:tcW w:w="3383" w:type="dxa"/>
          </w:tcPr>
          <w:p w:rsidR="00DF7305" w:rsidRPr="00096E7C" w:rsidRDefault="00DF7305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</w:p>
        </w:tc>
      </w:tr>
    </w:tbl>
    <w:p w:rsidR="001F6EC4" w:rsidRPr="00DF7305" w:rsidRDefault="00096E7C" w:rsidP="001521B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F82C01">
        <w:rPr>
          <w:rFonts w:cs="Times New Roman"/>
          <w:szCs w:val="28"/>
        </w:rPr>
        <w:t xml:space="preserve">По закінченню лабораторну роботу потрібно здати на перевірку викладачеві, надіславши електронною поштою на адресу </w:t>
      </w:r>
      <w:hyperlink r:id="rId7" w:history="1">
        <w:r w:rsidRPr="00F82C01">
          <w:rPr>
            <w:rStyle w:val="aa"/>
            <w:rFonts w:cs="Times New Roman"/>
            <w:szCs w:val="28"/>
            <w:lang w:eastAsia="uk-UA"/>
          </w:rPr>
          <w:t>t.i.lumpova@gmail.com</w:t>
        </w:r>
      </w:hyperlink>
      <w:r w:rsidRPr="00F82C01">
        <w:rPr>
          <w:rFonts w:cs="Times New Roman"/>
          <w:szCs w:val="28"/>
        </w:rPr>
        <w:t>. Якщо викладач знаходить помилки чи неточності, він може повернути роботу на доопрацювання.</w:t>
      </w:r>
    </w:p>
    <w:p w:rsidR="007F25EC" w:rsidRPr="00F82C01" w:rsidRDefault="007F25EC" w:rsidP="007F25E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2C01">
        <w:rPr>
          <w:rFonts w:ascii="Times New Roman" w:hAnsi="Times New Roman" w:cs="Times New Roman"/>
          <w:sz w:val="28"/>
          <w:szCs w:val="28"/>
          <w:lang w:val="uk-UA"/>
        </w:rPr>
        <w:t>Файл з роботою повинен мати назву в такому форматі:</w:t>
      </w:r>
    </w:p>
    <w:p w:rsidR="007F25EC" w:rsidRPr="00F82C01" w:rsidRDefault="007F25EC" w:rsidP="007F25E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2C01">
        <w:rPr>
          <w:rFonts w:ascii="Times New Roman" w:hAnsi="Times New Roman" w:cs="Times New Roman"/>
          <w:b/>
          <w:sz w:val="28"/>
          <w:szCs w:val="28"/>
          <w:lang w:val="uk-UA" w:eastAsia="uk-UA"/>
        </w:rPr>
        <w:t>KPZ</w:t>
      </w:r>
      <w:r w:rsidRPr="00F82C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&lt;Номер групи&gt;&lt;Номер лекції / лабораторної&gt; [літера позначення типу роботи L – лекція, R – лабораторна]&lt;</w:t>
      </w:r>
      <w:r w:rsidRPr="00F82C0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F82C01">
        <w:rPr>
          <w:rFonts w:ascii="Times New Roman" w:hAnsi="Times New Roman" w:cs="Times New Roman"/>
          <w:sz w:val="28"/>
          <w:szCs w:val="28"/>
          <w:lang w:val="uk-UA"/>
        </w:rPr>
        <w:t xml:space="preserve">.. Наприклад, </w:t>
      </w:r>
      <w:r w:rsidRPr="00F82C01">
        <w:rPr>
          <w:rFonts w:ascii="Times New Roman" w:hAnsi="Times New Roman" w:cs="Times New Roman"/>
          <w:b/>
          <w:sz w:val="28"/>
          <w:szCs w:val="28"/>
          <w:lang w:val="uk-UA" w:eastAsia="uk-UA"/>
        </w:rPr>
        <w:t>KPZ</w:t>
      </w:r>
      <w:r w:rsidRPr="00F82C01">
        <w:rPr>
          <w:rFonts w:ascii="Times New Roman" w:hAnsi="Times New Roman" w:cs="Times New Roman"/>
          <w:b/>
          <w:sz w:val="28"/>
          <w:szCs w:val="28"/>
          <w:lang w:val="uk-UA"/>
        </w:rPr>
        <w:t>4101R</w:t>
      </w:r>
      <w:r w:rsidRPr="00F82C0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7F25EC" w:rsidRPr="00F82C01" w:rsidRDefault="007F25EC" w:rsidP="007F25E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2C01"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7F25EC" w:rsidRPr="00F82C01" w:rsidRDefault="007F25EC" w:rsidP="007F25E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82C01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7F25EC" w:rsidRPr="00F82C01" w:rsidRDefault="007F25EC" w:rsidP="007F25E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82C01">
        <w:rPr>
          <w:rFonts w:ascii="Times New Roman" w:hAnsi="Times New Roman" w:cs="Times New Roman"/>
          <w:b/>
          <w:sz w:val="28"/>
          <w:szCs w:val="28"/>
          <w:lang w:val="uk-UA" w:eastAsia="uk-UA"/>
        </w:rPr>
        <w:t>KPZ&lt;Номер групи&gt;-ЛР&lt;Номер лабораторної&gt;-&lt;</w:t>
      </w:r>
      <w:r w:rsidRPr="00F82C0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&gt;</w:t>
      </w:r>
    </w:p>
    <w:p w:rsidR="007F25EC" w:rsidRPr="00F82C01" w:rsidRDefault="007F25EC" w:rsidP="007F25E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25EC" w:rsidRPr="00F82C01" w:rsidRDefault="007F25EC" w:rsidP="007F25EC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2C01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 w:rsidRPr="00F82C01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ІПЗ-41 – </w:t>
      </w:r>
    </w:p>
    <w:p w:rsidR="007F25EC" w:rsidRPr="00F82C01" w:rsidRDefault="007F25EC" w:rsidP="007F25EC"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2C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ІПЗ-42 – </w:t>
      </w:r>
      <w:r w:rsidR="00EA4A6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26</w:t>
      </w:r>
      <w:r w:rsidRPr="00F82C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.10.202</w:t>
      </w:r>
      <w:r w:rsidR="00F82C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</w:t>
      </w:r>
      <w:r w:rsidRPr="00F82C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F25EC" w:rsidRPr="00F82C01" w:rsidRDefault="007F25EC" w:rsidP="007F25E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82C0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F82C0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на електронну адресу викладача</w:t>
      </w:r>
      <w:r w:rsidRPr="00F82C01">
        <w:rPr>
          <w:rStyle w:val="aa"/>
          <w:rFonts w:ascii="Times New Roman" w:hAnsi="Times New Roman" w:cs="Times New Roman"/>
          <w:sz w:val="28"/>
          <w:szCs w:val="28"/>
          <w:u w:val="none"/>
          <w:lang w:val="uk-UA"/>
        </w:rPr>
        <w:t>,</w:t>
      </w:r>
      <w:r w:rsidRPr="00F82C01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2C01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7F25EC" w:rsidRPr="00F82C01" w:rsidRDefault="007F25EC" w:rsidP="007F25EC">
      <w:pPr>
        <w:spacing w:after="0" w:line="240" w:lineRule="auto"/>
        <w:ind w:left="36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lang w:val="uk-UA"/>
        </w:rPr>
      </w:pPr>
      <w:r w:rsidRPr="00F82C01">
        <w:rPr>
          <w:rFonts w:ascii="Times New Roman" w:hAnsi="Times New Roman" w:cs="Times New Roman"/>
          <w:b/>
          <w:sz w:val="28"/>
          <w:szCs w:val="28"/>
          <w:lang w:val="uk-UA" w:eastAsia="uk-UA"/>
        </w:rPr>
        <w:t>KPZ  &lt;Номер групи&gt;-Запитання-&lt;</w:t>
      </w:r>
      <w:r w:rsidRPr="00F82C0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&gt;</w:t>
      </w:r>
      <w:r w:rsidRPr="00F82C01">
        <w:rPr>
          <w:rStyle w:val="aa"/>
          <w:rFonts w:ascii="Times New Roman" w:hAnsi="Times New Roman" w:cs="Times New Roman"/>
          <w:sz w:val="28"/>
          <w:szCs w:val="28"/>
          <w:lang w:val="uk-UA"/>
        </w:rPr>
        <w:t>.</w:t>
      </w:r>
      <w:r w:rsidRPr="00F82C0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7F25EC" w:rsidRDefault="007F25EC" w:rsidP="001521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21BF" w:rsidRPr="001521BF" w:rsidRDefault="001521BF" w:rsidP="001521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21B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AB08B6" w:rsidRPr="00DF7305" w:rsidRDefault="00DF7305" w:rsidP="00AB08B6">
      <w:pPr>
        <w:pStyle w:val="a9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 w:rsidRPr="00DF7305">
        <w:rPr>
          <w:rFonts w:eastAsia="Times New Roman" w:cs="Times New Roman"/>
          <w:szCs w:val="28"/>
          <w:lang w:eastAsia="uk-UA"/>
        </w:rPr>
        <w:t>На які групи розподілені процеси ЖЦ ПЗ в стандарті ISO 12207  ?</w:t>
      </w:r>
    </w:p>
    <w:p w:rsidR="00DF7305" w:rsidRPr="00DF7305" w:rsidRDefault="00DF7305" w:rsidP="00AB08B6">
      <w:pPr>
        <w:pStyle w:val="a9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 w:rsidRPr="00DF7305">
        <w:rPr>
          <w:rFonts w:cs="Times New Roman"/>
          <w:szCs w:val="28"/>
        </w:rPr>
        <w:t>Які процеси відносяться до основних?</w:t>
      </w:r>
    </w:p>
    <w:p w:rsidR="00DF7305" w:rsidRPr="00DF7305" w:rsidRDefault="00DF7305" w:rsidP="00AB08B6">
      <w:pPr>
        <w:pStyle w:val="a9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 w:rsidRPr="00DF7305">
        <w:rPr>
          <w:rFonts w:cs="Times New Roman"/>
          <w:szCs w:val="28"/>
        </w:rPr>
        <w:t>Чи завжди потрібні в розробці ПЗ всі основні процеси?</w:t>
      </w:r>
    </w:p>
    <w:p w:rsidR="00DF7305" w:rsidRPr="00DF7305" w:rsidRDefault="00DF7305" w:rsidP="00AB08B6">
      <w:pPr>
        <w:pStyle w:val="a9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 w:rsidRPr="00DF7305">
        <w:rPr>
          <w:rFonts w:cs="Times New Roman"/>
          <w:szCs w:val="28"/>
        </w:rPr>
        <w:t>Які процеси відносяться до допоміжних?</w:t>
      </w:r>
    </w:p>
    <w:p w:rsidR="00DF7305" w:rsidRDefault="00DF7305" w:rsidP="00AB08B6">
      <w:pPr>
        <w:pStyle w:val="a9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Які допоміжні процеси потрібні при виконанні процесу розроблення?</w:t>
      </w:r>
    </w:p>
    <w:p w:rsidR="00DF7305" w:rsidRDefault="00DF7305" w:rsidP="00AB08B6">
      <w:pPr>
        <w:pStyle w:val="a9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Які процеси відносяться до організаційних?</w:t>
      </w:r>
    </w:p>
    <w:p w:rsidR="00DF7305" w:rsidRPr="00DF7305" w:rsidRDefault="00DF7305" w:rsidP="00AB08B6">
      <w:pPr>
        <w:pStyle w:val="a9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яких організаційних процесах може виникнути потреба при виконанні процесу розроблення?</w:t>
      </w:r>
    </w:p>
    <w:p w:rsidR="001F6EC4" w:rsidRPr="001521BF" w:rsidRDefault="001F6EC4" w:rsidP="001521BF">
      <w:pPr>
        <w:pStyle w:val="a9"/>
        <w:spacing w:after="0" w:line="240" w:lineRule="auto"/>
        <w:ind w:left="0"/>
        <w:jc w:val="center"/>
        <w:rPr>
          <w:rFonts w:cs="Times New Roman"/>
          <w:b/>
          <w:szCs w:val="28"/>
        </w:rPr>
      </w:pPr>
      <w:r w:rsidRPr="001521BF">
        <w:rPr>
          <w:rFonts w:cs="Times New Roman"/>
          <w:b/>
          <w:szCs w:val="28"/>
        </w:rPr>
        <w:lastRenderedPageBreak/>
        <w:t>Теоретичні відомості:</w:t>
      </w:r>
    </w:p>
    <w:p w:rsidR="00E322B4" w:rsidRDefault="004819C1" w:rsidP="00B721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9C1">
        <w:rPr>
          <w:rFonts w:ascii="Times New Roman" w:hAnsi="Times New Roman" w:cs="Times New Roman"/>
          <w:sz w:val="28"/>
          <w:szCs w:val="28"/>
          <w:lang w:val="uk-UA"/>
        </w:rPr>
        <w:t>Стандарт ISO/IEC/IEEE 12207 призначено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для досягнення цілком узгодженого уявлення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про процеси життєвого циклу системи та ПЗ. Він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об’єднує дії, які можуть виконуватися протягом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життєвого циклу системи ПЗ, із семи технологічних груп. Кожен із процесів життєвого циклу в межах цих груп описується з точки зору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його мети та бажаних результатів, а також перераховані заходи та завдання, які необхідно виконати для досягнення цих результатів. Цілі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результати процесів життєвого циклу складають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довідкову модель процесу.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Підпроцеси і групи підпроцесів життєвого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циклу ПЗ відповідно до стандарту ISO/IEC/IEEE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12207 наведено у табл. 1.</w:t>
      </w:r>
    </w:p>
    <w:p w:rsidR="00B7219B" w:rsidRPr="00B83859" w:rsidRDefault="00B7219B" w:rsidP="00B721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Як видно з цієї таблиці, усі процеси поділяються на процеси системного контексту та програмно-орієнтовані процеси. Процеси системного контексту поділяються на процеси угоди, організаційні процеси, що сприяють реалізації проектів, процеси проекту і технічні процеси. Програмно-орієнтовані процеси поділяються на процеси впровадження ПЗ, процеси підтримки ПЗ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процеси повторного використання ПЗ. Кожен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підпроцесів має свою групу підпроцесів. Всі 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процеси і підпроцеси можуть бути застосовані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для ПЗ ЗВТ, однак для нього необхідна деталізація групи підпроцесів, що відносяться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технічних процесів.</w:t>
      </w:r>
    </w:p>
    <w:p w:rsidR="00B7219B" w:rsidRPr="00B83859" w:rsidRDefault="00B7219B" w:rsidP="00B721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Зазначений стандарт також забезпечує процеси, які можна використовувати для визначення, контролю та вдосконалення процесів життєвого циклу ПЗ в організації чи проекті. Процеси, діяльність та завдання у ньому можуть також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застосовуватися під час придбання системи, яка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містить ПЗ, самостійно або спільно зі стандартом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ISO/IEC/IEEE 15288, який гармонізований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Україні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 xml:space="preserve"> Процеси впровадження ПЗ використовуються для створення певного системного елемента,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реалізованого в ПЗ. Ці процеси перетворюють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задану поведінку, інтерфейси та обмеження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реалізацію в дії щодо впровадження ПЗ, в результаті чого системний елемент повинен задовольняти вимоги, що випливають із системних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вимог. Кінцевим елементом підгрупи процесу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впровадження ПЗ є процес тестування придатності ПЗ до встановленого застосування. Основною його метою є підтвердження того, що інтегроване ПЗ відповідає встановленим замовником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вимогам.</w:t>
      </w:r>
    </w:p>
    <w:p w:rsidR="00B7219B" w:rsidRPr="00B83859" w:rsidRDefault="00B7219B" w:rsidP="00B7219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Тестування ПЗ є процесом багаторазового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повторення його роботи з метою виявлення можливих помилок. Основна мета виділення тестування як окремого етапу створення ПЗ полягає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тому, щоб звернути увагу на обов’язковість цього етапу і необхідність спеціального планування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певних витрат щодо нього. Відомо два традиційні підходи (методи) тестування придатності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ПЗ: «чорний ящик» (без доступу до початкового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коду) і «білий ящик» (з доступом до початкового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 xml:space="preserve">коду). </w:t>
      </w:r>
    </w:p>
    <w:p w:rsidR="00E322B4" w:rsidRDefault="00E322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322B4" w:rsidRDefault="00E322B4" w:rsidP="0048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E322B4" w:rsidSect="006024E1">
          <w:headerReference w:type="default" r:id="rId8"/>
          <w:footerReference w:type="default" r:id="rId9"/>
          <w:pgSz w:w="12240" w:h="15840"/>
          <w:pgMar w:top="567" w:right="567" w:bottom="567" w:left="1701" w:header="142" w:footer="408" w:gutter="0"/>
          <w:cols w:space="708"/>
          <w:docGrid w:linePitch="360"/>
        </w:sectPr>
      </w:pPr>
    </w:p>
    <w:p w:rsidR="004819C1" w:rsidRPr="00E322B4" w:rsidRDefault="004819C1" w:rsidP="00E322B4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322B4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1 – Послідовність групи підпроцесів життєвого циклу ПЗ</w:t>
      </w:r>
    </w:p>
    <w:tbl>
      <w:tblPr>
        <w:tblStyle w:val="ad"/>
        <w:tblW w:w="0" w:type="auto"/>
        <w:tblLook w:val="04A0"/>
      </w:tblPr>
      <w:tblGrid>
        <w:gridCol w:w="660"/>
        <w:gridCol w:w="1728"/>
        <w:gridCol w:w="2425"/>
        <w:gridCol w:w="1978"/>
        <w:gridCol w:w="2151"/>
        <w:gridCol w:w="2028"/>
        <w:gridCol w:w="1978"/>
        <w:gridCol w:w="1974"/>
      </w:tblGrid>
      <w:tr w:rsidR="007C0574" w:rsidTr="003A7F8A">
        <w:trPr>
          <w:tblHeader/>
        </w:trPr>
        <w:tc>
          <w:tcPr>
            <w:tcW w:w="705" w:type="dxa"/>
          </w:tcPr>
          <w:p w:rsidR="007C0574" w:rsidRDefault="007C0574" w:rsidP="00481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191" w:type="dxa"/>
            <w:gridSpan w:val="4"/>
          </w:tcPr>
          <w:p w:rsidR="007C0574" w:rsidRPr="007C0574" w:rsidRDefault="007C0574" w:rsidP="007C0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Процеси системного контексту </w:t>
            </w:r>
          </w:p>
        </w:tc>
        <w:tc>
          <w:tcPr>
            <w:tcW w:w="6026" w:type="dxa"/>
            <w:gridSpan w:val="3"/>
          </w:tcPr>
          <w:p w:rsidR="007C0574" w:rsidRPr="007C0574" w:rsidRDefault="007C0574" w:rsidP="00481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Програмно-орієнтовані процеси</w:t>
            </w:r>
          </w:p>
        </w:tc>
      </w:tr>
      <w:tr w:rsidR="003A7F8A" w:rsidTr="003A7F8A">
        <w:trPr>
          <w:cantSplit/>
          <w:trHeight w:val="1406"/>
        </w:trPr>
        <w:tc>
          <w:tcPr>
            <w:tcW w:w="705" w:type="dxa"/>
            <w:textDirection w:val="btLr"/>
          </w:tcPr>
          <w:p w:rsidR="007C0574" w:rsidRDefault="007C0574" w:rsidP="00E322B4">
            <w:pPr>
              <w:autoSpaceDE w:val="0"/>
              <w:autoSpaceDN w:val="0"/>
              <w:adjustRightInd w:val="0"/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Підпроцеси</w:t>
            </w:r>
          </w:p>
        </w:tc>
        <w:tc>
          <w:tcPr>
            <w:tcW w:w="1793" w:type="dxa"/>
            <w:vAlign w:val="center"/>
          </w:tcPr>
          <w:p w:rsidR="007C0574" w:rsidRPr="007C0574" w:rsidRDefault="007C0574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угоди</w:t>
            </w:r>
          </w:p>
        </w:tc>
        <w:tc>
          <w:tcPr>
            <w:tcW w:w="2476" w:type="dxa"/>
            <w:vAlign w:val="center"/>
          </w:tcPr>
          <w:p w:rsidR="007C0574" w:rsidRPr="007C0574" w:rsidRDefault="007C0574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Організаційні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процеси, що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сприяють реалізації проектів</w:t>
            </w:r>
          </w:p>
        </w:tc>
        <w:tc>
          <w:tcPr>
            <w:tcW w:w="1771" w:type="dxa"/>
            <w:vAlign w:val="center"/>
          </w:tcPr>
          <w:p w:rsidR="007C0574" w:rsidRPr="007C0574" w:rsidRDefault="007C0574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</w:t>
            </w:r>
          </w:p>
        </w:tc>
        <w:tc>
          <w:tcPr>
            <w:tcW w:w="2151" w:type="dxa"/>
            <w:vAlign w:val="center"/>
          </w:tcPr>
          <w:p w:rsidR="007C0574" w:rsidRPr="007C0574" w:rsidRDefault="007C0574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Технічні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процеси</w:t>
            </w:r>
          </w:p>
        </w:tc>
        <w:tc>
          <w:tcPr>
            <w:tcW w:w="2028" w:type="dxa"/>
            <w:vAlign w:val="center"/>
          </w:tcPr>
          <w:p w:rsidR="007C0574" w:rsidRPr="007C0574" w:rsidRDefault="007C0574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Процеси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впровадження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ПЗ</w:t>
            </w:r>
          </w:p>
        </w:tc>
        <w:tc>
          <w:tcPr>
            <w:tcW w:w="1978" w:type="dxa"/>
            <w:vAlign w:val="center"/>
          </w:tcPr>
          <w:p w:rsidR="007C0574" w:rsidRPr="007C0574" w:rsidRDefault="007C0574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Процеси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підтримки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ПЗ</w:t>
            </w:r>
          </w:p>
        </w:tc>
        <w:tc>
          <w:tcPr>
            <w:tcW w:w="2020" w:type="dxa"/>
            <w:vAlign w:val="center"/>
          </w:tcPr>
          <w:p w:rsidR="007C0574" w:rsidRPr="007C0574" w:rsidRDefault="007C0574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повторного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ПЗ</w:t>
            </w:r>
          </w:p>
        </w:tc>
      </w:tr>
      <w:tr w:rsidR="003A7F8A" w:rsidTr="003A7F8A">
        <w:tc>
          <w:tcPr>
            <w:tcW w:w="705" w:type="dxa"/>
            <w:vMerge w:val="restart"/>
            <w:textDirection w:val="btLr"/>
          </w:tcPr>
          <w:p w:rsidR="003A7F8A" w:rsidRPr="007C0574" w:rsidRDefault="003A7F8A" w:rsidP="007C0574">
            <w:pPr>
              <w:autoSpaceDE w:val="0"/>
              <w:autoSpaceDN w:val="0"/>
              <w:adjustRightInd w:val="0"/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підпроцесів</w:t>
            </w:r>
          </w:p>
        </w:tc>
        <w:tc>
          <w:tcPr>
            <w:tcW w:w="1793" w:type="dxa"/>
          </w:tcPr>
          <w:p w:rsidR="003A7F8A" w:rsidRPr="007C0574" w:rsidRDefault="003A7F8A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придбання</w:t>
            </w:r>
          </w:p>
        </w:tc>
        <w:tc>
          <w:tcPr>
            <w:tcW w:w="2476" w:type="dxa"/>
          </w:tcPr>
          <w:p w:rsidR="003A7F8A" w:rsidRPr="007C0574" w:rsidRDefault="003A7F8A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управління моделлю життєвого циклу</w:t>
            </w:r>
          </w:p>
        </w:tc>
        <w:tc>
          <w:tcPr>
            <w:tcW w:w="1771" w:type="dxa"/>
          </w:tcPr>
          <w:p w:rsidR="003A7F8A" w:rsidRPr="007C0574" w:rsidRDefault="003A7F8A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Процес планування проекту </w:t>
            </w:r>
          </w:p>
        </w:tc>
        <w:tc>
          <w:tcPr>
            <w:tcW w:w="2151" w:type="dxa"/>
          </w:tcPr>
          <w:p w:rsidR="003A7F8A" w:rsidRPr="007C0574" w:rsidRDefault="003A7F8A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визначення вимог зацікавлених сторін</w:t>
            </w:r>
          </w:p>
        </w:tc>
        <w:tc>
          <w:tcPr>
            <w:tcW w:w="2028" w:type="dxa"/>
          </w:tcPr>
          <w:p w:rsidR="003A7F8A" w:rsidRPr="007C0574" w:rsidRDefault="003A7F8A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Процес аналізу вимог до ПЗ </w:t>
            </w:r>
          </w:p>
        </w:tc>
        <w:tc>
          <w:tcPr>
            <w:tcW w:w="1978" w:type="dxa"/>
          </w:tcPr>
          <w:p w:rsidR="003A7F8A" w:rsidRPr="007C0574" w:rsidRDefault="003A7F8A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управління документами ПЗ</w:t>
            </w:r>
          </w:p>
        </w:tc>
        <w:tc>
          <w:tcPr>
            <w:tcW w:w="2020" w:type="dxa"/>
          </w:tcPr>
          <w:p w:rsidR="003A7F8A" w:rsidRPr="007C0574" w:rsidRDefault="003A7F8A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доменної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інженерії</w:t>
            </w:r>
          </w:p>
        </w:tc>
      </w:tr>
      <w:tr w:rsidR="003A7F8A" w:rsidTr="003A7F8A">
        <w:tc>
          <w:tcPr>
            <w:tcW w:w="705" w:type="dxa"/>
            <w:vMerge/>
          </w:tcPr>
          <w:p w:rsidR="003A7F8A" w:rsidRDefault="003A7F8A" w:rsidP="00481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93" w:type="dxa"/>
          </w:tcPr>
          <w:p w:rsidR="003A7F8A" w:rsidRPr="007C0574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постачання</w:t>
            </w:r>
          </w:p>
        </w:tc>
        <w:tc>
          <w:tcPr>
            <w:tcW w:w="2476" w:type="dxa"/>
          </w:tcPr>
          <w:p w:rsidR="003A7F8A" w:rsidRPr="007C0574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управління інфраструктурою</w:t>
            </w:r>
          </w:p>
        </w:tc>
        <w:tc>
          <w:tcPr>
            <w:tcW w:w="1771" w:type="dxa"/>
          </w:tcPr>
          <w:p w:rsidR="003A7F8A" w:rsidRPr="007C0574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Процес оцінки та контролю проекту </w:t>
            </w:r>
          </w:p>
        </w:tc>
        <w:tc>
          <w:tcPr>
            <w:tcW w:w="2151" w:type="dxa"/>
          </w:tcPr>
          <w:p w:rsidR="003A7F8A" w:rsidRPr="007C0574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аналізу системних вимог</w:t>
            </w:r>
          </w:p>
        </w:tc>
        <w:tc>
          <w:tcPr>
            <w:tcW w:w="2028" w:type="dxa"/>
          </w:tcPr>
          <w:p w:rsidR="003A7F8A" w:rsidRPr="007C0574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архітектурного проектування ПЗ</w:t>
            </w:r>
          </w:p>
        </w:tc>
        <w:tc>
          <w:tcPr>
            <w:tcW w:w="1978" w:type="dxa"/>
          </w:tcPr>
          <w:p w:rsidR="003A7F8A" w:rsidRPr="007C0574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управління конфігурацією ПЗ</w:t>
            </w:r>
          </w:p>
        </w:tc>
        <w:tc>
          <w:tcPr>
            <w:tcW w:w="2020" w:type="dxa"/>
          </w:tcPr>
          <w:p w:rsidR="003A7F8A" w:rsidRPr="007C0574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Повторне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процесу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активами</w:t>
            </w:r>
          </w:p>
        </w:tc>
      </w:tr>
      <w:tr w:rsidR="003A7F8A" w:rsidTr="003A7F8A">
        <w:tc>
          <w:tcPr>
            <w:tcW w:w="705" w:type="dxa"/>
            <w:vMerge/>
          </w:tcPr>
          <w:p w:rsidR="003A7F8A" w:rsidRDefault="003A7F8A" w:rsidP="00481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93" w:type="dxa"/>
            <w:shd w:val="clear" w:color="auto" w:fill="DAEEF3" w:themeFill="accent5" w:themeFillTint="33"/>
          </w:tcPr>
          <w:p w:rsidR="003A7F8A" w:rsidRDefault="003A7F8A" w:rsidP="00481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76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управління портфелем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проектів</w:t>
            </w:r>
          </w:p>
        </w:tc>
        <w:tc>
          <w:tcPr>
            <w:tcW w:w="177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рішеннями</w:t>
            </w:r>
          </w:p>
        </w:tc>
        <w:tc>
          <w:tcPr>
            <w:tcW w:w="215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 архітектурного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проектування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ПЗ</w:t>
            </w:r>
          </w:p>
        </w:tc>
        <w:tc>
          <w:tcPr>
            <w:tcW w:w="202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розробки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ПЗ</w:t>
            </w:r>
          </w:p>
        </w:tc>
        <w:tc>
          <w:tcPr>
            <w:tcW w:w="197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забезпечення якості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ПЗ</w:t>
            </w:r>
          </w:p>
        </w:tc>
        <w:tc>
          <w:tcPr>
            <w:tcW w:w="2020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Повторне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процесу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програмою</w:t>
            </w:r>
          </w:p>
        </w:tc>
      </w:tr>
      <w:tr w:rsidR="003A7F8A" w:rsidTr="003A7F8A">
        <w:tc>
          <w:tcPr>
            <w:tcW w:w="705" w:type="dxa"/>
            <w:vMerge/>
          </w:tcPr>
          <w:p w:rsidR="003A7F8A" w:rsidRDefault="003A7F8A" w:rsidP="00481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93" w:type="dxa"/>
            <w:shd w:val="clear" w:color="auto" w:fill="DAEEF3" w:themeFill="accent5" w:themeFillTint="33"/>
          </w:tcPr>
          <w:p w:rsidR="003A7F8A" w:rsidRDefault="003A7F8A" w:rsidP="00481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76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управління людськими ресурсами</w:t>
            </w:r>
          </w:p>
        </w:tc>
        <w:tc>
          <w:tcPr>
            <w:tcW w:w="177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управління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ризиками</w:t>
            </w:r>
          </w:p>
        </w:tc>
        <w:tc>
          <w:tcPr>
            <w:tcW w:w="215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 впровадження</w:t>
            </w:r>
          </w:p>
        </w:tc>
        <w:tc>
          <w:tcPr>
            <w:tcW w:w="202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створення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ПЗ</w:t>
            </w:r>
          </w:p>
        </w:tc>
        <w:tc>
          <w:tcPr>
            <w:tcW w:w="197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верифікації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ПЗ</w:t>
            </w:r>
          </w:p>
        </w:tc>
        <w:tc>
          <w:tcPr>
            <w:tcW w:w="2020" w:type="dxa"/>
            <w:shd w:val="clear" w:color="auto" w:fill="DAEEF3" w:themeFill="accent5" w:themeFillTint="33"/>
          </w:tcPr>
          <w:p w:rsidR="003A7F8A" w:rsidRDefault="003A7F8A" w:rsidP="00481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A7F8A" w:rsidTr="003A7F8A">
        <w:tc>
          <w:tcPr>
            <w:tcW w:w="705" w:type="dxa"/>
            <w:vMerge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93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76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управління якістю</w:t>
            </w:r>
          </w:p>
        </w:tc>
        <w:tc>
          <w:tcPr>
            <w:tcW w:w="177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конфігурацією</w:t>
            </w:r>
          </w:p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 системної інтеграції</w:t>
            </w:r>
          </w:p>
        </w:tc>
        <w:tc>
          <w:tcPr>
            <w:tcW w:w="202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інтеграції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ПЗ</w:t>
            </w:r>
          </w:p>
        </w:tc>
        <w:tc>
          <w:tcPr>
            <w:tcW w:w="197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валідації ПЗ</w:t>
            </w:r>
          </w:p>
        </w:tc>
        <w:tc>
          <w:tcPr>
            <w:tcW w:w="2020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A7F8A" w:rsidTr="003A7F8A">
        <w:tc>
          <w:tcPr>
            <w:tcW w:w="705" w:type="dxa"/>
            <w:vMerge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93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76" w:type="dxa"/>
            <w:shd w:val="clear" w:color="auto" w:fill="DAEEF3" w:themeFill="accent5" w:themeFillTint="33"/>
          </w:tcPr>
          <w:p w:rsidR="003A7F8A" w:rsidRP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7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інформацією</w:t>
            </w:r>
          </w:p>
        </w:tc>
        <w:tc>
          <w:tcPr>
            <w:tcW w:w="215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 тестування придатності системи</w:t>
            </w:r>
          </w:p>
        </w:tc>
        <w:tc>
          <w:tcPr>
            <w:tcW w:w="202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тестування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придатності ПЗ</w:t>
            </w:r>
          </w:p>
        </w:tc>
        <w:tc>
          <w:tcPr>
            <w:tcW w:w="197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огляду ПЗ</w:t>
            </w:r>
          </w:p>
        </w:tc>
        <w:tc>
          <w:tcPr>
            <w:tcW w:w="2020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A7F8A" w:rsidTr="003A7F8A">
        <w:tc>
          <w:tcPr>
            <w:tcW w:w="705" w:type="dxa"/>
            <w:vMerge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93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76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7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вимірювання</w:t>
            </w:r>
          </w:p>
        </w:tc>
        <w:tc>
          <w:tcPr>
            <w:tcW w:w="215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 встановлення ПЗ</w:t>
            </w:r>
          </w:p>
        </w:tc>
        <w:tc>
          <w:tcPr>
            <w:tcW w:w="2028" w:type="dxa"/>
            <w:shd w:val="clear" w:color="auto" w:fill="DAEEF3" w:themeFill="accent5" w:themeFillTint="33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7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аудиту ПЗ</w:t>
            </w:r>
          </w:p>
        </w:tc>
        <w:tc>
          <w:tcPr>
            <w:tcW w:w="2020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A7F8A" w:rsidTr="003A7F8A">
        <w:tc>
          <w:tcPr>
            <w:tcW w:w="705" w:type="dxa"/>
            <w:vMerge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93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76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71" w:type="dxa"/>
            <w:shd w:val="clear" w:color="auto" w:fill="DAEEF3" w:themeFill="accent5" w:themeFillTint="33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підтримки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прийняття ПЗ</w:t>
            </w:r>
          </w:p>
        </w:tc>
        <w:tc>
          <w:tcPr>
            <w:tcW w:w="2028" w:type="dxa"/>
            <w:shd w:val="clear" w:color="auto" w:fill="DAEEF3" w:themeFill="accent5" w:themeFillTint="33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7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вирішення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проблем ПЗ</w:t>
            </w:r>
          </w:p>
        </w:tc>
        <w:tc>
          <w:tcPr>
            <w:tcW w:w="2020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A7F8A" w:rsidTr="003A7F8A">
        <w:tc>
          <w:tcPr>
            <w:tcW w:w="705" w:type="dxa"/>
            <w:vMerge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93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76" w:type="dxa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71" w:type="dxa"/>
            <w:shd w:val="clear" w:color="auto" w:fill="DAEEF3" w:themeFill="accent5" w:themeFillTint="33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Процеси роботи, обслуговування і видалення ПЗ</w:t>
            </w:r>
          </w:p>
        </w:tc>
        <w:tc>
          <w:tcPr>
            <w:tcW w:w="2028" w:type="dxa"/>
            <w:shd w:val="clear" w:color="auto" w:fill="DAEEF3" w:themeFill="accent5" w:themeFillTint="33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78" w:type="dxa"/>
            <w:shd w:val="clear" w:color="auto" w:fill="DAEEF3" w:themeFill="accent5" w:themeFillTint="33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20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819C1" w:rsidRDefault="004819C1" w:rsidP="004819C1">
      <w:pPr>
        <w:shd w:val="clear" w:color="auto" w:fill="FFFFFF"/>
        <w:spacing w:after="0" w:line="240" w:lineRule="auto"/>
        <w:rPr>
          <w:rFonts w:ascii="Times New Roman" w:hAnsi="Times New Roman" w:cs="Times New Roman"/>
          <w:lang w:val="uk-UA"/>
        </w:rPr>
      </w:pPr>
    </w:p>
    <w:p w:rsidR="00E322B4" w:rsidRDefault="00E322B4" w:rsidP="0048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p w:rsidR="00E322B4" w:rsidRDefault="00E322B4" w:rsidP="0048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  <w:sectPr w:rsidR="00E322B4" w:rsidSect="00E322B4">
          <w:pgSz w:w="15840" w:h="12240" w:orient="landscape"/>
          <w:pgMar w:top="567" w:right="567" w:bottom="1701" w:left="567" w:header="142" w:footer="408" w:gutter="0"/>
          <w:cols w:space="708"/>
          <w:docGrid w:linePitch="360"/>
        </w:sectPr>
      </w:pPr>
    </w:p>
    <w:p w:rsidR="00B83859" w:rsidRDefault="00B83859" w:rsidP="00B8385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lastRenderedPageBreak/>
        <w:t>Згідно з вимогами стандарту ISO/IEC/IEEE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12207 у результаті успішної реалізації процесу тестування придатності ПЗ мають бути:</w:t>
      </w:r>
    </w:p>
    <w:p w:rsidR="00B83859" w:rsidRPr="00B83859" w:rsidRDefault="00B83859" w:rsidP="00B83859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B83859">
        <w:rPr>
          <w:rFonts w:cs="Times New Roman"/>
          <w:szCs w:val="28"/>
        </w:rPr>
        <w:t>розроблені критерії інтегрованого ПЗ, що</w:t>
      </w:r>
      <w:r w:rsidRPr="00B83859">
        <w:rPr>
          <w:rFonts w:cs="Times New Roman"/>
        </w:rPr>
        <w:t xml:space="preserve"> </w:t>
      </w:r>
      <w:r w:rsidRPr="00B83859">
        <w:rPr>
          <w:rFonts w:cs="Times New Roman"/>
          <w:szCs w:val="28"/>
        </w:rPr>
        <w:t>демонструє відповідність вимогам ПЗ;</w:t>
      </w:r>
    </w:p>
    <w:p w:rsidR="00B83859" w:rsidRPr="00B83859" w:rsidRDefault="00B83859" w:rsidP="00B83859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B83859">
        <w:rPr>
          <w:rFonts w:cs="Times New Roman"/>
          <w:szCs w:val="28"/>
        </w:rPr>
        <w:t>інтегроване ПЗ перевірено за допомогою визначених критеріїв;</w:t>
      </w:r>
    </w:p>
    <w:p w:rsidR="00B83859" w:rsidRPr="00B83859" w:rsidRDefault="00B83859" w:rsidP="00B83859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B83859">
        <w:rPr>
          <w:rFonts w:cs="Times New Roman"/>
          <w:szCs w:val="28"/>
        </w:rPr>
        <w:t>документально зареєстровані результати тестування інтегрованого ПЗ;</w:t>
      </w:r>
    </w:p>
    <w:p w:rsidR="00B83859" w:rsidRPr="00B83859" w:rsidRDefault="00B83859" w:rsidP="00B83859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B83859">
        <w:rPr>
          <w:rFonts w:cs="Times New Roman"/>
          <w:szCs w:val="28"/>
        </w:rPr>
        <w:t>розроблена і застосована стратегія регресії для повторного тестування інтегрованого ПЗ при зміні елементів ПЗ.</w:t>
      </w:r>
    </w:p>
    <w:p w:rsidR="00B83859" w:rsidRPr="00B83859" w:rsidRDefault="00B83859" w:rsidP="00B8385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Для кожного елемента ПЗ (або елемента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конфігурації ПЗ, якщо він визначений) процедура тестування придатності ПЗ складається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наступних поетапних завдань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3859" w:rsidRPr="00B83859" w:rsidRDefault="00B83859" w:rsidP="00DF7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Етап 1. Розробник ПЗ повинен провести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кваліфікаційне тестування ПЗ відповідно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кваліфікаційних вимог до нього. При цьому слід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забезпечити перевірку виконання кожної встановленої вимоги до ПЗ на відповідність і результати цього кваліфікаційного тестування повинні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бути задокументовані.</w:t>
      </w:r>
    </w:p>
    <w:p w:rsidR="00B83859" w:rsidRPr="00B83859" w:rsidRDefault="00B83859" w:rsidP="00B8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Етап 2. Розробник ПЗ повинен оновити документацію користувача ПЗ, якщо це необхідно.</w:t>
      </w:r>
    </w:p>
    <w:p w:rsidR="00B83859" w:rsidRPr="00B83859" w:rsidRDefault="00B83859" w:rsidP="00B8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Етап 3. Розробник ПЗ повинен оцінити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відповідним документуванням дизайн, код, тести, результати тестів і документацію користувача, враховуючи такі критерії:</w:t>
      </w:r>
    </w:p>
    <w:p w:rsidR="00B83859" w:rsidRPr="00B83859" w:rsidRDefault="00B83859" w:rsidP="00B8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випробування щодо охоплення встановлених вимог до ПЗ.</w:t>
      </w:r>
    </w:p>
    <w:p w:rsidR="00B83859" w:rsidRPr="00B83859" w:rsidRDefault="00B83859" w:rsidP="00B83859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B83859">
        <w:rPr>
          <w:rFonts w:cs="Times New Roman"/>
          <w:szCs w:val="28"/>
        </w:rPr>
        <w:t>відповідність очікуваним результатам розроблення ПЗ;</w:t>
      </w:r>
    </w:p>
    <w:p w:rsidR="00B83859" w:rsidRPr="00B83859" w:rsidRDefault="00B83859" w:rsidP="00B83859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B83859">
        <w:rPr>
          <w:rFonts w:cs="Times New Roman"/>
          <w:szCs w:val="28"/>
        </w:rPr>
        <w:t>доцільність інтеграції та тестування ПЗ, якщо вона проводиться;</w:t>
      </w:r>
    </w:p>
    <w:p w:rsidR="00B83859" w:rsidRPr="00B83859" w:rsidRDefault="00B83859" w:rsidP="00B83859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B83859">
        <w:rPr>
          <w:rFonts w:cs="Times New Roman"/>
          <w:szCs w:val="28"/>
        </w:rPr>
        <w:t>можливість експлуатації та обслуговування ПЗ.</w:t>
      </w:r>
    </w:p>
    <w:p w:rsidR="00B83859" w:rsidRPr="00B83859" w:rsidRDefault="00B83859" w:rsidP="00B721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Етап 4. Розробник ПЗ повинен підтримувати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аудит відповідно до встановлених вимог до ПЗ.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Результати цього аудиту повинні бути задокументовані, а сам аудит повинен проводитись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тестування кваліфікації ПЗ.</w:t>
      </w:r>
    </w:p>
    <w:p w:rsidR="00B83859" w:rsidRPr="00B83859" w:rsidRDefault="00B83859" w:rsidP="00B721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Етап 5. Реалізатор ПЗ після успішного завершення аудиту повинен, перед наданням ПЗ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його замовнику, оновити та підготувати ПЗ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інтеграції системи, тестування придатності ПЗ,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встановлення ПЗ або підтримки прийняття ПЗ.</w:t>
      </w:r>
    </w:p>
    <w:p w:rsidR="004819C1" w:rsidRPr="00B83859" w:rsidRDefault="00B83859" w:rsidP="00B721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Процес тестування придатності ПЗ може 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застосований під час верифікації або валідації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ПЗ.</w:t>
      </w:r>
    </w:p>
    <w:p w:rsidR="00B83859" w:rsidRPr="00B83859" w:rsidRDefault="00B83859" w:rsidP="00B721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Одним із важливих елементів життєвого циклу ПЗ є його супровід – сукупність дій із забезпечення роботи, внесення змін при виявленні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помилок, адаптації ПЗ до нового середовища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функціонування, а також підвищення продуктивності або поліпшення деяких характеристик ПЗ.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Супровід життєвого циклу ПЗ проводиться відповідно до положень стандартів ISO/IEC/IEEE</w:t>
      </w:r>
    </w:p>
    <w:p w:rsidR="004819C1" w:rsidRPr="00B83859" w:rsidRDefault="00B83859" w:rsidP="00B721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12207 і ISO/IEC 14764 [4] з метою виконання</w:t>
      </w:r>
      <w:r w:rsidR="00B721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і модифікації ПЗ в процесі експлуатації за умови</w:t>
      </w:r>
      <w:r w:rsidR="00B721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 xml:space="preserve">збереження його цілісності </w:t>
      </w:r>
    </w:p>
    <w:p w:rsidR="004819C1" w:rsidRPr="00B7219B" w:rsidRDefault="004819C1" w:rsidP="004819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219B">
        <w:rPr>
          <w:rFonts w:ascii="Times New Roman" w:hAnsi="Times New Roman" w:cs="Times New Roman"/>
          <w:sz w:val="28"/>
          <w:szCs w:val="28"/>
          <w:lang w:val="uk-UA"/>
        </w:rPr>
        <w:t>За матеріалами</w:t>
      </w:r>
    </w:p>
    <w:p w:rsidR="004819C1" w:rsidRPr="004819C1" w:rsidRDefault="004819C1" w:rsidP="004819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19C1">
        <w:rPr>
          <w:rFonts w:ascii="Times New Roman" w:hAnsi="Times New Roman" w:cs="Times New Roman"/>
          <w:sz w:val="28"/>
          <w:szCs w:val="28"/>
          <w:lang w:val="ru-RU"/>
        </w:rPr>
        <w:t>https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://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www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google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com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url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?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sa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t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rct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j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q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esrc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s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source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web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cd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cad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rja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uact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=8&amp;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ved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=2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ahUKEwjtgp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7389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vzAhVtgP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HHU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iCJAQFnoFCIkCEAE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url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https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%3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%2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F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%2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Fodatrya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org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ua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%2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Findex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php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%2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Fosatrq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%2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Farticle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%2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Fview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%2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F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249&amp;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usg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AOvVaw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flhuJm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zIBh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NwQwQ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GVo</w:t>
      </w:r>
    </w:p>
    <w:sectPr w:rsidR="004819C1" w:rsidRPr="004819C1" w:rsidSect="006024E1">
      <w:pgSz w:w="12240" w:h="15840"/>
      <w:pgMar w:top="567" w:right="567" w:bottom="567" w:left="1701" w:header="142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1E3" w:rsidRDefault="005261E3" w:rsidP="006024E1">
      <w:pPr>
        <w:spacing w:after="0" w:line="240" w:lineRule="auto"/>
      </w:pPr>
      <w:r>
        <w:separator/>
      </w:r>
    </w:p>
  </w:endnote>
  <w:endnote w:type="continuationSeparator" w:id="0">
    <w:p w:rsidR="005261E3" w:rsidRDefault="005261E3" w:rsidP="0060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35486"/>
      <w:docPartObj>
        <w:docPartGallery w:val="Page Numbers (Bottom of Page)"/>
        <w:docPartUnique/>
      </w:docPartObj>
    </w:sdtPr>
    <w:sdtContent>
      <w:p w:rsidR="00B83859" w:rsidRDefault="00B83859" w:rsidP="006024E1">
        <w:pPr>
          <w:pStyle w:val="a5"/>
          <w:jc w:val="right"/>
        </w:pPr>
        <w:fldSimple w:instr=" PAGE   \* MERGEFORMAT ">
          <w:r w:rsidR="00096E7C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1E3" w:rsidRDefault="005261E3" w:rsidP="006024E1">
      <w:pPr>
        <w:spacing w:after="0" w:line="240" w:lineRule="auto"/>
      </w:pPr>
      <w:r>
        <w:separator/>
      </w:r>
    </w:p>
  </w:footnote>
  <w:footnote w:type="continuationSeparator" w:id="0">
    <w:p w:rsidR="005261E3" w:rsidRDefault="005261E3" w:rsidP="0060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859" w:rsidRPr="000638EE" w:rsidRDefault="00B83859">
    <w:pPr>
      <w:pStyle w:val="a3"/>
      <w:rPr>
        <w:lang w:val="ru-RU"/>
      </w:rPr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D83"/>
    <w:multiLevelType w:val="hybridMultilevel"/>
    <w:tmpl w:val="036EE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10FD4"/>
    <w:multiLevelType w:val="hybridMultilevel"/>
    <w:tmpl w:val="639815E0"/>
    <w:lvl w:ilvl="0" w:tplc="A24600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25CC2ACC"/>
    <w:multiLevelType w:val="multilevel"/>
    <w:tmpl w:val="0AE2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63464C"/>
    <w:multiLevelType w:val="hybridMultilevel"/>
    <w:tmpl w:val="A95A7EAA"/>
    <w:lvl w:ilvl="0" w:tplc="50D0A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892FBA"/>
    <w:multiLevelType w:val="hybridMultilevel"/>
    <w:tmpl w:val="639815E0"/>
    <w:lvl w:ilvl="0" w:tplc="A24600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346D4"/>
    <w:multiLevelType w:val="hybridMultilevel"/>
    <w:tmpl w:val="CAAA93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02125C"/>
    <w:multiLevelType w:val="hybridMultilevel"/>
    <w:tmpl w:val="18E2E9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24E1"/>
    <w:rsid w:val="000049A6"/>
    <w:rsid w:val="00012785"/>
    <w:rsid w:val="000638EE"/>
    <w:rsid w:val="00071743"/>
    <w:rsid w:val="00096E7C"/>
    <w:rsid w:val="000C4B80"/>
    <w:rsid w:val="001521BF"/>
    <w:rsid w:val="00155C37"/>
    <w:rsid w:val="001D35C0"/>
    <w:rsid w:val="001D4CC7"/>
    <w:rsid w:val="001F6EC4"/>
    <w:rsid w:val="00204CC9"/>
    <w:rsid w:val="002A33F0"/>
    <w:rsid w:val="003453E0"/>
    <w:rsid w:val="0035378F"/>
    <w:rsid w:val="00370AAC"/>
    <w:rsid w:val="0039367C"/>
    <w:rsid w:val="003A7F8A"/>
    <w:rsid w:val="004819C1"/>
    <w:rsid w:val="00511106"/>
    <w:rsid w:val="005261E3"/>
    <w:rsid w:val="00581E54"/>
    <w:rsid w:val="006024E1"/>
    <w:rsid w:val="006B3245"/>
    <w:rsid w:val="006D0E79"/>
    <w:rsid w:val="006F5BA3"/>
    <w:rsid w:val="007570A4"/>
    <w:rsid w:val="007C0574"/>
    <w:rsid w:val="007C1BC3"/>
    <w:rsid w:val="007F25EC"/>
    <w:rsid w:val="007F6096"/>
    <w:rsid w:val="00943303"/>
    <w:rsid w:val="009A033C"/>
    <w:rsid w:val="00A55BCC"/>
    <w:rsid w:val="00A73BC6"/>
    <w:rsid w:val="00A9422D"/>
    <w:rsid w:val="00AB08B6"/>
    <w:rsid w:val="00AC35DB"/>
    <w:rsid w:val="00AD6EAC"/>
    <w:rsid w:val="00B1541F"/>
    <w:rsid w:val="00B7219B"/>
    <w:rsid w:val="00B83859"/>
    <w:rsid w:val="00B9150E"/>
    <w:rsid w:val="00B94A5C"/>
    <w:rsid w:val="00BA24C7"/>
    <w:rsid w:val="00BB25E8"/>
    <w:rsid w:val="00C87471"/>
    <w:rsid w:val="00DE1FF7"/>
    <w:rsid w:val="00DF7305"/>
    <w:rsid w:val="00E2217B"/>
    <w:rsid w:val="00E2630A"/>
    <w:rsid w:val="00E322B4"/>
    <w:rsid w:val="00E64EE4"/>
    <w:rsid w:val="00EA4A6A"/>
    <w:rsid w:val="00F82C01"/>
    <w:rsid w:val="00FB554B"/>
    <w:rsid w:val="00FC77AD"/>
    <w:rsid w:val="00FF1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BA3"/>
  </w:style>
  <w:style w:type="paragraph" w:styleId="1">
    <w:name w:val="heading 1"/>
    <w:basedOn w:val="a"/>
    <w:next w:val="a"/>
    <w:link w:val="10"/>
    <w:uiPriority w:val="9"/>
    <w:qFormat/>
    <w:rsid w:val="00C87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4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B154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4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24E1"/>
  </w:style>
  <w:style w:type="paragraph" w:styleId="a5">
    <w:name w:val="footer"/>
    <w:basedOn w:val="a"/>
    <w:link w:val="a6"/>
    <w:uiPriority w:val="99"/>
    <w:unhideWhenUsed/>
    <w:rsid w:val="006024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24E1"/>
  </w:style>
  <w:style w:type="paragraph" w:styleId="a7">
    <w:name w:val="Balloon Text"/>
    <w:basedOn w:val="a"/>
    <w:link w:val="a8"/>
    <w:uiPriority w:val="99"/>
    <w:semiHidden/>
    <w:unhideWhenUsed/>
    <w:rsid w:val="00602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024E1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rsid w:val="001F6EC4"/>
  </w:style>
  <w:style w:type="paragraph" w:styleId="a9">
    <w:name w:val="List Paragraph"/>
    <w:basedOn w:val="a"/>
    <w:uiPriority w:val="34"/>
    <w:qFormat/>
    <w:rsid w:val="001F6EC4"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character" w:styleId="aa">
    <w:name w:val="Hyperlink"/>
    <w:basedOn w:val="a0"/>
    <w:uiPriority w:val="99"/>
    <w:unhideWhenUsed/>
    <w:rsid w:val="0035378F"/>
    <w:rPr>
      <w:color w:val="0000FF"/>
      <w:u w:val="single"/>
    </w:rPr>
  </w:style>
  <w:style w:type="character" w:customStyle="1" w:styleId="e24kjd">
    <w:name w:val="e24kjd"/>
    <w:basedOn w:val="a0"/>
    <w:rsid w:val="0035378F"/>
  </w:style>
  <w:style w:type="character" w:styleId="ab">
    <w:name w:val="Strong"/>
    <w:basedOn w:val="a0"/>
    <w:uiPriority w:val="22"/>
    <w:qFormat/>
    <w:rsid w:val="0035378F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154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B15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87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87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p1-h-1">
    <w:name w:val="dp1-h-1"/>
    <w:basedOn w:val="a0"/>
    <w:rsid w:val="00C87471"/>
  </w:style>
  <w:style w:type="character" w:customStyle="1" w:styleId="dp1-h-2">
    <w:name w:val="dp1-h-2"/>
    <w:basedOn w:val="a0"/>
    <w:rsid w:val="00C87471"/>
  </w:style>
  <w:style w:type="table" w:styleId="ad">
    <w:name w:val="Table Grid"/>
    <w:basedOn w:val="a1"/>
    <w:uiPriority w:val="59"/>
    <w:rsid w:val="00E221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F25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F8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2C01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cm-doc">
    <w:name w:val="cm-doc"/>
    <w:basedOn w:val="a0"/>
    <w:rsid w:val="00F82C01"/>
  </w:style>
  <w:style w:type="character" w:customStyle="1" w:styleId="cm-keyword">
    <w:name w:val="cm-keyword"/>
    <w:basedOn w:val="a0"/>
    <w:rsid w:val="00F82C01"/>
  </w:style>
  <w:style w:type="character" w:customStyle="1" w:styleId="cm-def1">
    <w:name w:val="cm-def1"/>
    <w:basedOn w:val="a0"/>
    <w:rsid w:val="00F82C01"/>
  </w:style>
  <w:style w:type="character" w:customStyle="1" w:styleId="cm-comment">
    <w:name w:val="cm-comment"/>
    <w:basedOn w:val="a0"/>
    <w:rsid w:val="00F82C01"/>
  </w:style>
  <w:style w:type="character" w:customStyle="1" w:styleId="cm-def3">
    <w:name w:val="cm-def3"/>
    <w:basedOn w:val="a0"/>
    <w:rsid w:val="00F82C01"/>
  </w:style>
  <w:style w:type="character" w:customStyle="1" w:styleId="cm-bracket">
    <w:name w:val="cm-bracket"/>
    <w:basedOn w:val="a0"/>
    <w:rsid w:val="00F82C01"/>
  </w:style>
  <w:style w:type="character" w:customStyle="1" w:styleId="cm-variable">
    <w:name w:val="cm-variable"/>
    <w:basedOn w:val="a0"/>
    <w:rsid w:val="00F82C01"/>
  </w:style>
  <w:style w:type="character" w:customStyle="1" w:styleId="cm-operator">
    <w:name w:val="cm-operator"/>
    <w:basedOn w:val="a0"/>
    <w:rsid w:val="00F82C01"/>
  </w:style>
  <w:style w:type="character" w:customStyle="1" w:styleId="cm-string">
    <w:name w:val="cm-string"/>
    <w:basedOn w:val="a0"/>
    <w:rsid w:val="00F82C01"/>
  </w:style>
  <w:style w:type="character" w:customStyle="1" w:styleId="cm-def">
    <w:name w:val="cm-def"/>
    <w:basedOn w:val="a0"/>
    <w:rsid w:val="00370AAC"/>
  </w:style>
  <w:style w:type="character" w:customStyle="1" w:styleId="cm-type">
    <w:name w:val="cm-type"/>
    <w:basedOn w:val="a0"/>
    <w:rsid w:val="00370AAC"/>
  </w:style>
  <w:style w:type="character" w:customStyle="1" w:styleId="cm-number">
    <w:name w:val="cm-number"/>
    <w:basedOn w:val="a0"/>
    <w:rsid w:val="00370A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5600</Words>
  <Characters>3193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5</cp:revision>
  <dcterms:created xsi:type="dcterms:W3CDTF">2021-10-21T16:00:00Z</dcterms:created>
  <dcterms:modified xsi:type="dcterms:W3CDTF">2021-10-21T18:19:00Z</dcterms:modified>
</cp:coreProperties>
</file>