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9C1" w:rsidRPr="00DF7305" w:rsidRDefault="006024E1">
      <w:pPr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DF730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Лабораторна робота №</w:t>
      </w:r>
      <w:r w:rsidR="002A33F0" w:rsidRPr="00DF730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8</w:t>
      </w:r>
      <w:r w:rsidRPr="00DF730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. </w:t>
      </w:r>
      <w:r w:rsidRPr="00DF7305">
        <w:rPr>
          <w:rFonts w:ascii="Times New Roman" w:hAnsi="Times New Roman" w:cs="Times New Roman"/>
          <w:lang w:val="uk-UA"/>
        </w:rPr>
        <w:t xml:space="preserve"> </w:t>
      </w:r>
      <w:r w:rsidR="002A33F0" w:rsidRPr="00DF7305">
        <w:rPr>
          <w:rFonts w:ascii="Times New Roman" w:hAnsi="Times New Roman" w:cs="Times New Roman"/>
          <w:b/>
          <w:sz w:val="28"/>
          <w:szCs w:val="28"/>
          <w:lang w:val="uk-UA"/>
        </w:rPr>
        <w:t>Процеси розробки програмного забезпечення.</w:t>
      </w:r>
      <w:r w:rsidR="002A33F0" w:rsidRPr="00DF73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A33F0" w:rsidRPr="00DF730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Визначення складу основних процесів розробки ПЗ за </w:t>
      </w:r>
      <w:r w:rsidR="002A33F0" w:rsidRPr="00DF7305">
        <w:rPr>
          <w:rFonts w:ascii="Times New Roman" w:eastAsia="CIDFont+F1" w:hAnsi="Times New Roman" w:cs="Times New Roman"/>
          <w:b/>
          <w:sz w:val="28"/>
          <w:szCs w:val="28"/>
          <w:lang w:val="uk-UA"/>
        </w:rPr>
        <w:t>ДСТУ ISO/IEC/IEEE 12207:2018</w:t>
      </w:r>
      <w:r w:rsidR="001F6EC4" w:rsidRPr="00DF7305">
        <w:rPr>
          <w:rStyle w:val="longtext"/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1F6EC4" w:rsidRPr="00DF7305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r w:rsidRPr="00DF7305">
        <w:rPr>
          <w:rFonts w:ascii="Times New Roman" w:hAnsi="Times New Roman" w:cs="Times New Roman"/>
          <w:bCs/>
          <w:iCs/>
          <w:sz w:val="28"/>
          <w:szCs w:val="28"/>
          <w:lang w:val="uk-UA"/>
        </w:rPr>
        <w:t>(2 год.)</w:t>
      </w:r>
    </w:p>
    <w:p w:rsidR="001F6EC4" w:rsidRPr="00DF7305" w:rsidRDefault="001F6EC4" w:rsidP="001521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7305">
        <w:rPr>
          <w:rFonts w:ascii="Times New Roman" w:hAnsi="Times New Roman" w:cs="Times New Roman"/>
          <w:b/>
          <w:sz w:val="28"/>
          <w:szCs w:val="28"/>
          <w:lang w:val="uk-UA"/>
        </w:rPr>
        <w:t>Мета роботи</w:t>
      </w:r>
      <w:r w:rsidRPr="00DF7305">
        <w:rPr>
          <w:rFonts w:ascii="Times New Roman" w:hAnsi="Times New Roman" w:cs="Times New Roman"/>
          <w:sz w:val="28"/>
          <w:szCs w:val="28"/>
          <w:lang w:val="uk-UA"/>
        </w:rPr>
        <w:t xml:space="preserve">: засвоєння навичок </w:t>
      </w:r>
      <w:r w:rsidR="00EA4A6A" w:rsidRPr="00DF7305">
        <w:rPr>
          <w:rFonts w:ascii="Times New Roman" w:hAnsi="Times New Roman" w:cs="Times New Roman"/>
          <w:sz w:val="28"/>
          <w:szCs w:val="28"/>
          <w:lang w:val="uk-UA"/>
        </w:rPr>
        <w:t xml:space="preserve">визначення складу основних процесів розробки ПЗ за </w:t>
      </w:r>
      <w:r w:rsidR="00EA4A6A" w:rsidRPr="00DF7305">
        <w:rPr>
          <w:rFonts w:ascii="Times New Roman" w:eastAsia="CIDFont+F1" w:hAnsi="Times New Roman" w:cs="Times New Roman"/>
          <w:sz w:val="28"/>
          <w:szCs w:val="28"/>
          <w:lang w:val="uk-UA"/>
        </w:rPr>
        <w:t>ДСТУ ISO/IEC/IEEE 12207:2018</w:t>
      </w:r>
    </w:p>
    <w:p w:rsidR="001F6EC4" w:rsidRPr="00DF7305" w:rsidRDefault="001F6EC4" w:rsidP="001521BF">
      <w:pPr>
        <w:spacing w:after="0" w:line="240" w:lineRule="auto"/>
        <w:rPr>
          <w:rStyle w:val="longtext"/>
          <w:rFonts w:ascii="Times New Roman" w:hAnsi="Times New Roman" w:cs="Times New Roman"/>
          <w:b/>
          <w:sz w:val="28"/>
          <w:szCs w:val="28"/>
          <w:lang w:val="uk-UA"/>
        </w:rPr>
      </w:pPr>
      <w:r w:rsidRPr="00DF7305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</w:p>
    <w:p w:rsidR="00C87471" w:rsidRPr="00DF7305" w:rsidRDefault="00C87471" w:rsidP="001521BF"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Style w:val="longtext"/>
          <w:rFonts w:cs="Times New Roman"/>
          <w:szCs w:val="28"/>
        </w:rPr>
      </w:pPr>
      <w:r w:rsidRPr="00DF7305">
        <w:rPr>
          <w:rStyle w:val="longtext"/>
          <w:rFonts w:cs="Times New Roman"/>
          <w:szCs w:val="28"/>
        </w:rPr>
        <w:t>Ознайомитися з теоретичною частиною</w:t>
      </w:r>
    </w:p>
    <w:p w:rsidR="00C87471" w:rsidRPr="00DF7305" w:rsidRDefault="00DF7305" w:rsidP="001521BF"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Style w:val="longtext"/>
          <w:rFonts w:cs="Times New Roman"/>
          <w:szCs w:val="28"/>
        </w:rPr>
      </w:pPr>
      <w:r w:rsidRPr="00DF7305">
        <w:rPr>
          <w:rStyle w:val="longtext"/>
          <w:rFonts w:cs="Times New Roman"/>
          <w:szCs w:val="28"/>
        </w:rPr>
        <w:t xml:space="preserve">Для власного проекту визначте склад робіт для одного з </w:t>
      </w:r>
      <w:r w:rsidR="00F02B38">
        <w:rPr>
          <w:rStyle w:val="longtext"/>
          <w:rFonts w:cs="Times New Roman"/>
          <w:szCs w:val="28"/>
        </w:rPr>
        <w:t xml:space="preserve">піддпроцесів одного з </w:t>
      </w:r>
      <w:r w:rsidRPr="00DF7305">
        <w:rPr>
          <w:rStyle w:val="longtext"/>
          <w:rFonts w:cs="Times New Roman"/>
          <w:szCs w:val="28"/>
        </w:rPr>
        <w:t xml:space="preserve">основних процесів </w:t>
      </w:r>
      <w:r w:rsidRPr="00DF7305">
        <w:rPr>
          <w:rFonts w:cs="Times New Roman"/>
          <w:szCs w:val="28"/>
        </w:rPr>
        <w:t xml:space="preserve">розробки ПЗ за </w:t>
      </w:r>
      <w:r w:rsidRPr="00DF7305">
        <w:rPr>
          <w:rFonts w:eastAsia="CIDFont+F1" w:cs="Times New Roman"/>
          <w:szCs w:val="28"/>
        </w:rPr>
        <w:t xml:space="preserve">ДСТУ ISO/IEC/IEEE 12207:2018, надавши пояснення, </w:t>
      </w:r>
      <w:r>
        <w:rPr>
          <w:rFonts w:eastAsia="CIDFont+F1" w:cs="Times New Roman"/>
          <w:szCs w:val="28"/>
        </w:rPr>
        <w:t>щодо мети виконання цих дій і очікуваного результату.</w:t>
      </w:r>
    </w:p>
    <w:p w:rsidR="001F6EC4" w:rsidRDefault="00DF7305" w:rsidP="001521BF"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Style w:val="longtext"/>
          <w:rFonts w:cs="Times New Roman"/>
          <w:szCs w:val="28"/>
        </w:rPr>
      </w:pPr>
      <w:r>
        <w:rPr>
          <w:rStyle w:val="longtext"/>
          <w:rFonts w:cs="Times New Roman"/>
          <w:szCs w:val="28"/>
        </w:rPr>
        <w:t>Результати оформити у вигляді таблиці:</w:t>
      </w:r>
    </w:p>
    <w:p w:rsidR="00DF7305" w:rsidRDefault="00DF7305" w:rsidP="00DF7305">
      <w:pPr>
        <w:spacing w:after="0" w:line="240" w:lineRule="auto"/>
        <w:jc w:val="both"/>
        <w:rPr>
          <w:rStyle w:val="longtext"/>
          <w:rFonts w:cs="Times New Roman"/>
          <w:szCs w:val="28"/>
          <w:lang w:val="uk-UA"/>
        </w:rPr>
      </w:pPr>
    </w:p>
    <w:tbl>
      <w:tblPr>
        <w:tblStyle w:val="ad"/>
        <w:tblW w:w="0" w:type="auto"/>
        <w:tblLook w:val="04A0"/>
      </w:tblPr>
      <w:tblGrid>
        <w:gridCol w:w="790"/>
        <w:gridCol w:w="2938"/>
        <w:gridCol w:w="3077"/>
        <w:gridCol w:w="3383"/>
      </w:tblGrid>
      <w:tr w:rsidR="00DF7305" w:rsidRPr="002804C1" w:rsidTr="00B6407B">
        <w:tc>
          <w:tcPr>
            <w:tcW w:w="10188" w:type="dxa"/>
            <w:gridSpan w:val="4"/>
          </w:tcPr>
          <w:p w:rsidR="00DF7305" w:rsidRPr="00EE006D" w:rsidRDefault="00DF7305" w:rsidP="00F02B38">
            <w:pPr>
              <w:jc w:val="center"/>
              <w:rPr>
                <w:rStyle w:val="longtext"/>
                <w:rFonts w:cs="Times New Roman"/>
                <w:sz w:val="28"/>
                <w:szCs w:val="28"/>
                <w:lang w:val="ru-RU"/>
              </w:rPr>
            </w:pPr>
            <w:r w:rsidRPr="00EE006D">
              <w:rPr>
                <w:rStyle w:val="longtext"/>
                <w:rFonts w:cs="Times New Roman"/>
                <w:sz w:val="28"/>
                <w:szCs w:val="28"/>
                <w:lang w:val="ru-RU"/>
              </w:rPr>
              <w:t>&lt;</w:t>
            </w:r>
            <w:r w:rsidRPr="00096E7C">
              <w:rPr>
                <w:rStyle w:val="longtext"/>
                <w:rFonts w:cs="Times New Roman"/>
                <w:sz w:val="28"/>
                <w:szCs w:val="28"/>
                <w:lang w:val="uk-UA"/>
              </w:rPr>
              <w:t xml:space="preserve">Назва обораного </w:t>
            </w:r>
            <w:r w:rsidR="00F02B38">
              <w:rPr>
                <w:rStyle w:val="longtext"/>
                <w:rFonts w:cs="Times New Roman"/>
                <w:sz w:val="28"/>
                <w:szCs w:val="28"/>
                <w:lang w:val="uk-UA"/>
              </w:rPr>
              <w:t xml:space="preserve">підпроцеса </w:t>
            </w:r>
            <w:r w:rsidRPr="00096E7C">
              <w:rPr>
                <w:rStyle w:val="longtext"/>
                <w:rFonts w:cs="Times New Roman"/>
                <w:sz w:val="28"/>
                <w:szCs w:val="28"/>
                <w:lang w:val="uk-UA"/>
              </w:rPr>
              <w:t xml:space="preserve">основного процесу </w:t>
            </w:r>
            <w:r w:rsidRPr="00EE006D">
              <w:rPr>
                <w:rStyle w:val="longtext"/>
                <w:rFonts w:cs="Times New Roman"/>
                <w:sz w:val="28"/>
                <w:szCs w:val="28"/>
                <w:lang w:val="ru-RU"/>
              </w:rPr>
              <w:t>&gt;</w:t>
            </w:r>
          </w:p>
        </w:tc>
      </w:tr>
      <w:tr w:rsidR="00DF7305" w:rsidTr="00096E7C">
        <w:tc>
          <w:tcPr>
            <w:tcW w:w="790" w:type="dxa"/>
          </w:tcPr>
          <w:p w:rsidR="00DF7305" w:rsidRPr="00096E7C" w:rsidRDefault="00096E7C" w:rsidP="00DF7305">
            <w:pPr>
              <w:jc w:val="both"/>
              <w:rPr>
                <w:rStyle w:val="longtext"/>
                <w:rFonts w:cs="Times New Roman"/>
                <w:sz w:val="28"/>
                <w:szCs w:val="28"/>
                <w:lang w:val="uk-UA"/>
              </w:rPr>
            </w:pPr>
            <w:r w:rsidRPr="00096E7C">
              <w:rPr>
                <w:rStyle w:val="longtext"/>
                <w:rFonts w:cs="Times New Roman"/>
                <w:sz w:val="28"/>
                <w:szCs w:val="28"/>
                <w:lang w:val="uk-UA"/>
              </w:rPr>
              <w:t>№№</w:t>
            </w:r>
          </w:p>
        </w:tc>
        <w:tc>
          <w:tcPr>
            <w:tcW w:w="2938" w:type="dxa"/>
          </w:tcPr>
          <w:p w:rsidR="00DF7305" w:rsidRPr="00096E7C" w:rsidRDefault="00012785" w:rsidP="00DF7305">
            <w:pPr>
              <w:jc w:val="both"/>
              <w:rPr>
                <w:rStyle w:val="longtext"/>
                <w:rFonts w:cs="Times New Roman"/>
                <w:sz w:val="28"/>
                <w:szCs w:val="28"/>
                <w:lang w:val="uk-UA"/>
              </w:rPr>
            </w:pPr>
            <w:r w:rsidRPr="00096E7C">
              <w:rPr>
                <w:rStyle w:val="longtext"/>
                <w:rFonts w:cs="Times New Roman"/>
                <w:sz w:val="28"/>
                <w:szCs w:val="28"/>
                <w:lang w:val="uk-UA"/>
              </w:rPr>
              <w:t>Вид робіт</w:t>
            </w:r>
          </w:p>
        </w:tc>
        <w:tc>
          <w:tcPr>
            <w:tcW w:w="3077" w:type="dxa"/>
          </w:tcPr>
          <w:p w:rsidR="00DF7305" w:rsidRPr="00096E7C" w:rsidRDefault="00096E7C" w:rsidP="00DF7305">
            <w:pPr>
              <w:jc w:val="both"/>
              <w:rPr>
                <w:rStyle w:val="longtext"/>
                <w:rFonts w:cs="Times New Roman"/>
                <w:sz w:val="28"/>
                <w:szCs w:val="28"/>
                <w:lang w:val="uk-UA"/>
              </w:rPr>
            </w:pPr>
            <w:r w:rsidRPr="00096E7C">
              <w:rPr>
                <w:rStyle w:val="longtext"/>
                <w:rFonts w:cs="Times New Roman"/>
                <w:sz w:val="28"/>
                <w:szCs w:val="28"/>
                <w:lang w:val="uk-UA"/>
              </w:rPr>
              <w:t>Мета дій</w:t>
            </w:r>
          </w:p>
        </w:tc>
        <w:tc>
          <w:tcPr>
            <w:tcW w:w="3383" w:type="dxa"/>
          </w:tcPr>
          <w:p w:rsidR="00DF7305" w:rsidRPr="00096E7C" w:rsidRDefault="00096E7C" w:rsidP="00DF7305">
            <w:pPr>
              <w:jc w:val="both"/>
              <w:rPr>
                <w:rStyle w:val="longtext"/>
                <w:rFonts w:cs="Times New Roman"/>
                <w:sz w:val="28"/>
                <w:szCs w:val="28"/>
                <w:lang w:val="uk-UA"/>
              </w:rPr>
            </w:pPr>
            <w:r w:rsidRPr="00096E7C">
              <w:rPr>
                <w:rStyle w:val="longtext"/>
                <w:rFonts w:cs="Times New Roman"/>
                <w:sz w:val="28"/>
                <w:szCs w:val="28"/>
                <w:lang w:val="uk-UA"/>
              </w:rPr>
              <w:t>Очікуваний результат</w:t>
            </w:r>
          </w:p>
        </w:tc>
      </w:tr>
      <w:tr w:rsidR="00DF7305" w:rsidTr="00096E7C">
        <w:tc>
          <w:tcPr>
            <w:tcW w:w="790" w:type="dxa"/>
          </w:tcPr>
          <w:p w:rsidR="00DF7305" w:rsidRPr="00096E7C" w:rsidRDefault="00DF7305" w:rsidP="00DF7305">
            <w:pPr>
              <w:jc w:val="both"/>
              <w:rPr>
                <w:rStyle w:val="longtext"/>
                <w:rFonts w:cs="Times New Roman"/>
                <w:sz w:val="28"/>
                <w:szCs w:val="28"/>
                <w:lang w:val="uk-UA"/>
              </w:rPr>
            </w:pPr>
          </w:p>
        </w:tc>
        <w:tc>
          <w:tcPr>
            <w:tcW w:w="2938" w:type="dxa"/>
          </w:tcPr>
          <w:p w:rsidR="00DF7305" w:rsidRPr="00096E7C" w:rsidRDefault="00DF7305" w:rsidP="00DF7305">
            <w:pPr>
              <w:jc w:val="both"/>
              <w:rPr>
                <w:rStyle w:val="longtext"/>
                <w:rFonts w:cs="Times New Roman"/>
                <w:sz w:val="28"/>
                <w:szCs w:val="28"/>
                <w:lang w:val="uk-UA"/>
              </w:rPr>
            </w:pPr>
          </w:p>
        </w:tc>
        <w:tc>
          <w:tcPr>
            <w:tcW w:w="3077" w:type="dxa"/>
          </w:tcPr>
          <w:p w:rsidR="00DF7305" w:rsidRPr="00096E7C" w:rsidRDefault="00DF7305" w:rsidP="00DF7305">
            <w:pPr>
              <w:jc w:val="both"/>
              <w:rPr>
                <w:rStyle w:val="longtext"/>
                <w:rFonts w:cs="Times New Roman"/>
                <w:sz w:val="28"/>
                <w:szCs w:val="28"/>
                <w:lang w:val="uk-UA"/>
              </w:rPr>
            </w:pPr>
          </w:p>
        </w:tc>
        <w:tc>
          <w:tcPr>
            <w:tcW w:w="3383" w:type="dxa"/>
          </w:tcPr>
          <w:p w:rsidR="00DF7305" w:rsidRPr="00096E7C" w:rsidRDefault="00DF7305" w:rsidP="00DF7305">
            <w:pPr>
              <w:jc w:val="both"/>
              <w:rPr>
                <w:rStyle w:val="longtext"/>
                <w:rFonts w:cs="Times New Roman"/>
                <w:sz w:val="28"/>
                <w:szCs w:val="28"/>
                <w:lang w:val="uk-UA"/>
              </w:rPr>
            </w:pPr>
          </w:p>
        </w:tc>
      </w:tr>
    </w:tbl>
    <w:p w:rsidR="001F6EC4" w:rsidRPr="00DF7305" w:rsidRDefault="00096E7C" w:rsidP="001521BF"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Style w:val="longtext"/>
          <w:rFonts w:cs="Times New Roman"/>
          <w:szCs w:val="28"/>
        </w:rPr>
      </w:pPr>
      <w:r w:rsidRPr="00F82C01">
        <w:rPr>
          <w:rFonts w:cs="Times New Roman"/>
          <w:szCs w:val="28"/>
        </w:rPr>
        <w:t xml:space="preserve">По закінченню лабораторну роботу потрібно здати на перевірку викладачеві, надіславши електронною поштою на адресу </w:t>
      </w:r>
      <w:hyperlink r:id="rId7" w:history="1">
        <w:r w:rsidRPr="00F82C01">
          <w:rPr>
            <w:rStyle w:val="aa"/>
            <w:rFonts w:cs="Times New Roman"/>
            <w:szCs w:val="28"/>
            <w:lang w:eastAsia="uk-UA"/>
          </w:rPr>
          <w:t>t.i.lumpova@gmail.com</w:t>
        </w:r>
      </w:hyperlink>
      <w:r w:rsidRPr="00F82C01">
        <w:rPr>
          <w:rFonts w:cs="Times New Roman"/>
          <w:szCs w:val="28"/>
        </w:rPr>
        <w:t>. Якщо викладач знаходить помилки чи неточності, він може повернути роботу на доопрацювання.</w:t>
      </w:r>
    </w:p>
    <w:p w:rsidR="007F25EC" w:rsidRPr="00F82C01" w:rsidRDefault="007F25EC" w:rsidP="007F25E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2C01">
        <w:rPr>
          <w:rFonts w:ascii="Times New Roman" w:hAnsi="Times New Roman" w:cs="Times New Roman"/>
          <w:sz w:val="28"/>
          <w:szCs w:val="28"/>
          <w:lang w:val="uk-UA"/>
        </w:rPr>
        <w:t>Файл з роботою повинен мати назву в такому форматі:</w:t>
      </w:r>
    </w:p>
    <w:p w:rsidR="007F25EC" w:rsidRPr="00F82C01" w:rsidRDefault="007F25EC" w:rsidP="007F25E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2C01">
        <w:rPr>
          <w:rFonts w:ascii="Times New Roman" w:hAnsi="Times New Roman" w:cs="Times New Roman"/>
          <w:b/>
          <w:sz w:val="28"/>
          <w:szCs w:val="28"/>
          <w:lang w:val="uk-UA" w:eastAsia="uk-UA"/>
        </w:rPr>
        <w:t>KPZ</w:t>
      </w:r>
      <w:r w:rsidRPr="00F82C0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&lt;Номер групи&gt;&lt;Номер лекції / лабораторної&gt; [літера позначення типу роботи L – лекція, R – лабораторна]&lt;</w:t>
      </w:r>
      <w:r w:rsidRPr="00F82C01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Прізвище англійською&gt;</w:t>
      </w:r>
      <w:r w:rsidRPr="00F82C01">
        <w:rPr>
          <w:rFonts w:ascii="Times New Roman" w:hAnsi="Times New Roman" w:cs="Times New Roman"/>
          <w:sz w:val="28"/>
          <w:szCs w:val="28"/>
          <w:lang w:val="uk-UA"/>
        </w:rPr>
        <w:t xml:space="preserve">.. Наприклад, </w:t>
      </w:r>
      <w:r w:rsidRPr="00F82C01">
        <w:rPr>
          <w:rFonts w:ascii="Times New Roman" w:hAnsi="Times New Roman" w:cs="Times New Roman"/>
          <w:b/>
          <w:sz w:val="28"/>
          <w:szCs w:val="28"/>
          <w:lang w:val="uk-UA" w:eastAsia="uk-UA"/>
        </w:rPr>
        <w:t>KPZ</w:t>
      </w:r>
      <w:r w:rsidRPr="00F82C01">
        <w:rPr>
          <w:rFonts w:ascii="Times New Roman" w:hAnsi="Times New Roman" w:cs="Times New Roman"/>
          <w:b/>
          <w:sz w:val="28"/>
          <w:szCs w:val="28"/>
          <w:lang w:val="uk-UA"/>
        </w:rPr>
        <w:t>4101R</w:t>
      </w:r>
      <w:r w:rsidRPr="00F82C01">
        <w:rPr>
          <w:rFonts w:ascii="Times New Roman" w:hAnsi="Times New Roman" w:cs="Times New Roman"/>
          <w:sz w:val="28"/>
          <w:szCs w:val="28"/>
          <w:lang w:val="uk-UA"/>
        </w:rPr>
        <w:t xml:space="preserve">buts.doc. </w:t>
      </w:r>
    </w:p>
    <w:p w:rsidR="007F25EC" w:rsidRPr="00F82C01" w:rsidRDefault="007F25EC" w:rsidP="007F25E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2C01">
        <w:rPr>
          <w:rFonts w:ascii="Times New Roman" w:hAnsi="Times New Roman" w:cs="Times New Roman"/>
          <w:sz w:val="28"/>
          <w:szCs w:val="28"/>
          <w:lang w:val="uk-UA"/>
        </w:rPr>
        <w:t xml:space="preserve">Не копіюйте фрагментів з різних інформаційних джерел, подумайте і викладіть свою точку зору. При наявності робіт-"близнюків" відповідь буде зараховуватися першому за часом надсилання. </w:t>
      </w:r>
    </w:p>
    <w:p w:rsidR="007F25EC" w:rsidRPr="00F82C01" w:rsidRDefault="007F25EC" w:rsidP="007F25E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F82C01">
        <w:rPr>
          <w:rFonts w:ascii="Times New Roman" w:hAnsi="Times New Roman" w:cs="Times New Roman"/>
          <w:sz w:val="28"/>
          <w:szCs w:val="28"/>
          <w:lang w:val="uk-UA" w:eastAsia="uk-UA"/>
        </w:rPr>
        <w:t>Тему в заголовку листа записати</w:t>
      </w:r>
    </w:p>
    <w:p w:rsidR="007F25EC" w:rsidRPr="00F82C01" w:rsidRDefault="007F25EC" w:rsidP="007F25E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F82C01">
        <w:rPr>
          <w:rFonts w:ascii="Times New Roman" w:hAnsi="Times New Roman" w:cs="Times New Roman"/>
          <w:b/>
          <w:sz w:val="28"/>
          <w:szCs w:val="28"/>
          <w:lang w:val="uk-UA" w:eastAsia="uk-UA"/>
        </w:rPr>
        <w:t>KPZ&lt;Номер групи&gt;-ЛР&lt;Номер лабораторної&gt;-&lt;</w:t>
      </w:r>
      <w:r w:rsidRPr="00F82C01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Прізвище &gt;</w:t>
      </w:r>
    </w:p>
    <w:p w:rsidR="007F25EC" w:rsidRPr="00F82C01" w:rsidRDefault="007F25EC" w:rsidP="007F25E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F25EC" w:rsidRPr="00F82C01" w:rsidRDefault="007F25EC" w:rsidP="007F25EC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82C01">
        <w:rPr>
          <w:rFonts w:ascii="Times New Roman" w:hAnsi="Times New Roman" w:cs="Times New Roman"/>
          <w:b/>
          <w:sz w:val="28"/>
          <w:szCs w:val="28"/>
          <w:lang w:val="uk-UA"/>
        </w:rPr>
        <w:t>Строк виконання цієї роботи</w:t>
      </w:r>
      <w:r w:rsidRPr="00F82C01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ІПЗ-41 </w:t>
      </w:r>
      <w:r w:rsidRPr="006E7DB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– </w:t>
      </w:r>
      <w:r w:rsidR="006E7DBD" w:rsidRPr="006E7DB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0</w:t>
      </w:r>
      <w:r w:rsidR="002804C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7</w:t>
      </w:r>
      <w:r w:rsidR="006E7DBD" w:rsidRPr="006E7DB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.11.2021</w:t>
      </w:r>
    </w:p>
    <w:p w:rsidR="007F25EC" w:rsidRPr="00F82C01" w:rsidRDefault="007F25EC" w:rsidP="007F25EC">
      <w:pPr>
        <w:spacing w:after="0" w:line="240" w:lineRule="auto"/>
        <w:ind w:left="3960" w:firstLine="3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F25EC" w:rsidRPr="00F82C01" w:rsidRDefault="007F25EC" w:rsidP="007F25E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F82C0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Всі запитання, що виникнуть, надсилайте </w:t>
      </w:r>
      <w:r w:rsidRPr="00F82C01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  <w:lang w:val="uk-UA"/>
        </w:rPr>
        <w:t>на електронну адресу викладача</w:t>
      </w:r>
      <w:r w:rsidRPr="00F82C01">
        <w:rPr>
          <w:rStyle w:val="aa"/>
          <w:rFonts w:ascii="Times New Roman" w:hAnsi="Times New Roman" w:cs="Times New Roman"/>
          <w:sz w:val="28"/>
          <w:szCs w:val="28"/>
          <w:u w:val="none"/>
          <w:lang w:val="uk-UA"/>
        </w:rPr>
        <w:t>,</w:t>
      </w:r>
      <w:r w:rsidRPr="00F82C01"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82C01">
        <w:rPr>
          <w:rFonts w:ascii="Times New Roman" w:hAnsi="Times New Roman" w:cs="Times New Roman"/>
          <w:sz w:val="28"/>
          <w:szCs w:val="28"/>
          <w:lang w:val="uk-UA" w:eastAsia="uk-UA"/>
        </w:rPr>
        <w:t>Тему в заголовку листа записати</w:t>
      </w:r>
    </w:p>
    <w:p w:rsidR="007F25EC" w:rsidRPr="00F82C01" w:rsidRDefault="007F25EC" w:rsidP="007F25EC">
      <w:pPr>
        <w:spacing w:after="0" w:line="240" w:lineRule="auto"/>
        <w:ind w:left="360"/>
        <w:jc w:val="both"/>
        <w:rPr>
          <w:rStyle w:val="ab"/>
          <w:rFonts w:ascii="Times New Roman" w:hAnsi="Times New Roman" w:cs="Times New Roman"/>
          <w:b w:val="0"/>
          <w:sz w:val="28"/>
          <w:szCs w:val="28"/>
          <w:lang w:val="uk-UA"/>
        </w:rPr>
      </w:pPr>
      <w:r w:rsidRPr="00F82C01">
        <w:rPr>
          <w:rFonts w:ascii="Times New Roman" w:hAnsi="Times New Roman" w:cs="Times New Roman"/>
          <w:b/>
          <w:sz w:val="28"/>
          <w:szCs w:val="28"/>
          <w:lang w:val="uk-UA" w:eastAsia="uk-UA"/>
        </w:rPr>
        <w:t>KPZ  &lt;Номер групи&gt;-Запитання-&lt;</w:t>
      </w:r>
      <w:r w:rsidRPr="00F82C01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Прізвище &gt;</w:t>
      </w:r>
      <w:r w:rsidRPr="00F82C01">
        <w:rPr>
          <w:rStyle w:val="aa"/>
          <w:rFonts w:ascii="Times New Roman" w:hAnsi="Times New Roman" w:cs="Times New Roman"/>
          <w:sz w:val="28"/>
          <w:szCs w:val="28"/>
          <w:lang w:val="uk-UA"/>
        </w:rPr>
        <w:t>.</w:t>
      </w:r>
      <w:r w:rsidRPr="00F82C0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7F25EC" w:rsidRDefault="007F25EC" w:rsidP="001521B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521BF" w:rsidRPr="001521BF" w:rsidRDefault="001521BF" w:rsidP="001521B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21BF"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ПИТАННЯ:</w:t>
      </w:r>
    </w:p>
    <w:p w:rsidR="00AB08B6" w:rsidRPr="00DF7305" w:rsidRDefault="00DF7305" w:rsidP="00AB08B6">
      <w:pPr>
        <w:pStyle w:val="a9"/>
        <w:numPr>
          <w:ilvl w:val="0"/>
          <w:numId w:val="4"/>
        </w:numPr>
        <w:tabs>
          <w:tab w:val="left" w:pos="284"/>
        </w:tabs>
        <w:spacing w:after="0" w:line="240" w:lineRule="auto"/>
        <w:ind w:left="0" w:firstLine="0"/>
        <w:jc w:val="both"/>
        <w:rPr>
          <w:rFonts w:cs="Times New Roman"/>
          <w:szCs w:val="28"/>
        </w:rPr>
      </w:pPr>
      <w:r w:rsidRPr="00DF7305">
        <w:rPr>
          <w:rFonts w:eastAsia="Times New Roman" w:cs="Times New Roman"/>
          <w:szCs w:val="28"/>
          <w:lang w:eastAsia="uk-UA"/>
        </w:rPr>
        <w:t>На які групи розподілені процеси ЖЦ ПЗ в стандарті ISO 12207  ?</w:t>
      </w:r>
    </w:p>
    <w:p w:rsidR="00DF7305" w:rsidRPr="00DF7305" w:rsidRDefault="00DF7305" w:rsidP="00AB08B6">
      <w:pPr>
        <w:pStyle w:val="a9"/>
        <w:numPr>
          <w:ilvl w:val="0"/>
          <w:numId w:val="4"/>
        </w:numPr>
        <w:tabs>
          <w:tab w:val="left" w:pos="284"/>
        </w:tabs>
        <w:spacing w:after="0" w:line="240" w:lineRule="auto"/>
        <w:ind w:left="0" w:firstLine="0"/>
        <w:jc w:val="both"/>
        <w:rPr>
          <w:rFonts w:cs="Times New Roman"/>
          <w:szCs w:val="28"/>
        </w:rPr>
      </w:pPr>
      <w:r w:rsidRPr="00DF7305">
        <w:rPr>
          <w:rFonts w:cs="Times New Roman"/>
          <w:szCs w:val="28"/>
        </w:rPr>
        <w:t>Які процеси відносяться до основних?</w:t>
      </w:r>
    </w:p>
    <w:p w:rsidR="00DF7305" w:rsidRPr="00DF7305" w:rsidRDefault="00DF7305" w:rsidP="00AB08B6">
      <w:pPr>
        <w:pStyle w:val="a9"/>
        <w:numPr>
          <w:ilvl w:val="0"/>
          <w:numId w:val="4"/>
        </w:numPr>
        <w:tabs>
          <w:tab w:val="left" w:pos="284"/>
        </w:tabs>
        <w:spacing w:after="0" w:line="240" w:lineRule="auto"/>
        <w:ind w:left="0" w:firstLine="0"/>
        <w:jc w:val="both"/>
        <w:rPr>
          <w:rFonts w:cs="Times New Roman"/>
          <w:szCs w:val="28"/>
        </w:rPr>
      </w:pPr>
      <w:r w:rsidRPr="00DF7305">
        <w:rPr>
          <w:rFonts w:cs="Times New Roman"/>
          <w:szCs w:val="28"/>
        </w:rPr>
        <w:t>Чи завжди потрібні в розробці ПЗ всі основні процеси?</w:t>
      </w:r>
    </w:p>
    <w:p w:rsidR="00DF7305" w:rsidRPr="00DF7305" w:rsidRDefault="00DF7305" w:rsidP="00AB08B6">
      <w:pPr>
        <w:pStyle w:val="a9"/>
        <w:numPr>
          <w:ilvl w:val="0"/>
          <w:numId w:val="4"/>
        </w:numPr>
        <w:tabs>
          <w:tab w:val="left" w:pos="284"/>
        </w:tabs>
        <w:spacing w:after="0" w:line="240" w:lineRule="auto"/>
        <w:ind w:left="0" w:firstLine="0"/>
        <w:jc w:val="both"/>
        <w:rPr>
          <w:rFonts w:cs="Times New Roman"/>
          <w:szCs w:val="28"/>
        </w:rPr>
      </w:pPr>
      <w:r w:rsidRPr="00DF7305">
        <w:rPr>
          <w:rFonts w:cs="Times New Roman"/>
          <w:szCs w:val="28"/>
        </w:rPr>
        <w:t>Які процеси відносяться до допоміжних?</w:t>
      </w:r>
    </w:p>
    <w:p w:rsidR="00DF7305" w:rsidRDefault="00DF7305" w:rsidP="00AB08B6">
      <w:pPr>
        <w:pStyle w:val="a9"/>
        <w:numPr>
          <w:ilvl w:val="0"/>
          <w:numId w:val="4"/>
        </w:numPr>
        <w:tabs>
          <w:tab w:val="left" w:pos="284"/>
        </w:tabs>
        <w:spacing w:after="0" w:line="24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Які допоміжні процеси потрібні при виконанні процесу розроблення?</w:t>
      </w:r>
    </w:p>
    <w:p w:rsidR="00DF7305" w:rsidRDefault="00DF7305" w:rsidP="00AB08B6">
      <w:pPr>
        <w:pStyle w:val="a9"/>
        <w:numPr>
          <w:ilvl w:val="0"/>
          <w:numId w:val="4"/>
        </w:numPr>
        <w:tabs>
          <w:tab w:val="left" w:pos="284"/>
        </w:tabs>
        <w:spacing w:after="0" w:line="24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Які процеси відносяться до організаційних?</w:t>
      </w:r>
    </w:p>
    <w:p w:rsidR="00DF7305" w:rsidRPr="00DF7305" w:rsidRDefault="00DF7305" w:rsidP="00AB08B6">
      <w:pPr>
        <w:pStyle w:val="a9"/>
        <w:numPr>
          <w:ilvl w:val="0"/>
          <w:numId w:val="4"/>
        </w:numPr>
        <w:tabs>
          <w:tab w:val="left" w:pos="284"/>
        </w:tabs>
        <w:spacing w:after="0" w:line="24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яких організаційних процесах може виникнути потреба при виконанні процесу розроблення?</w:t>
      </w:r>
    </w:p>
    <w:p w:rsidR="001F6EC4" w:rsidRPr="001521BF" w:rsidRDefault="001F6EC4" w:rsidP="001521BF">
      <w:pPr>
        <w:pStyle w:val="a9"/>
        <w:spacing w:after="0" w:line="240" w:lineRule="auto"/>
        <w:ind w:left="0"/>
        <w:jc w:val="center"/>
        <w:rPr>
          <w:rFonts w:cs="Times New Roman"/>
          <w:b/>
          <w:szCs w:val="28"/>
        </w:rPr>
      </w:pPr>
      <w:r w:rsidRPr="001521BF">
        <w:rPr>
          <w:rFonts w:cs="Times New Roman"/>
          <w:b/>
          <w:szCs w:val="28"/>
        </w:rPr>
        <w:lastRenderedPageBreak/>
        <w:t>Теоретичні відомості:</w:t>
      </w:r>
    </w:p>
    <w:p w:rsidR="00E322B4" w:rsidRDefault="004819C1" w:rsidP="00B7219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19C1">
        <w:rPr>
          <w:rFonts w:ascii="Times New Roman" w:hAnsi="Times New Roman" w:cs="Times New Roman"/>
          <w:sz w:val="28"/>
          <w:szCs w:val="28"/>
          <w:lang w:val="uk-UA"/>
        </w:rPr>
        <w:t>Стандарт ISO/IEC/IEEE 12207 призначено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19C1">
        <w:rPr>
          <w:rFonts w:ascii="Times New Roman" w:hAnsi="Times New Roman" w:cs="Times New Roman"/>
          <w:sz w:val="28"/>
          <w:szCs w:val="28"/>
          <w:lang w:val="uk-UA"/>
        </w:rPr>
        <w:t>для досягнення цілком узгодженого уявлення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19C1">
        <w:rPr>
          <w:rFonts w:ascii="Times New Roman" w:hAnsi="Times New Roman" w:cs="Times New Roman"/>
          <w:sz w:val="28"/>
          <w:szCs w:val="28"/>
          <w:lang w:val="uk-UA"/>
        </w:rPr>
        <w:t>про процеси життєвого циклу системи та ПЗ. Він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19C1">
        <w:rPr>
          <w:rFonts w:ascii="Times New Roman" w:hAnsi="Times New Roman" w:cs="Times New Roman"/>
          <w:sz w:val="28"/>
          <w:szCs w:val="28"/>
          <w:lang w:val="uk-UA"/>
        </w:rPr>
        <w:t>об’єднує дії, які можуть виконуватися протягом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19C1">
        <w:rPr>
          <w:rFonts w:ascii="Times New Roman" w:hAnsi="Times New Roman" w:cs="Times New Roman"/>
          <w:sz w:val="28"/>
          <w:szCs w:val="28"/>
          <w:lang w:val="uk-UA"/>
        </w:rPr>
        <w:t>життєвого циклу системи ПЗ, із семи технологічних груп. Кожен із процесів життєвого циклу в межах цих груп описується з точки зору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19C1">
        <w:rPr>
          <w:rFonts w:ascii="Times New Roman" w:hAnsi="Times New Roman" w:cs="Times New Roman"/>
          <w:sz w:val="28"/>
          <w:szCs w:val="28"/>
          <w:lang w:val="uk-UA"/>
        </w:rPr>
        <w:t>його мети та бажаних результатів, а також перераховані заходи та завдання, які необхідно виконати для досягнення цих результатів. Цілі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19C1">
        <w:rPr>
          <w:rFonts w:ascii="Times New Roman" w:hAnsi="Times New Roman" w:cs="Times New Roman"/>
          <w:sz w:val="28"/>
          <w:szCs w:val="28"/>
          <w:lang w:val="uk-UA"/>
        </w:rPr>
        <w:t>результати процесів життєвого циклу складають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19C1">
        <w:rPr>
          <w:rFonts w:ascii="Times New Roman" w:hAnsi="Times New Roman" w:cs="Times New Roman"/>
          <w:sz w:val="28"/>
          <w:szCs w:val="28"/>
          <w:lang w:val="uk-UA"/>
        </w:rPr>
        <w:t>довідкову модель процесу.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19C1">
        <w:rPr>
          <w:rFonts w:ascii="Times New Roman" w:hAnsi="Times New Roman" w:cs="Times New Roman"/>
          <w:sz w:val="28"/>
          <w:szCs w:val="28"/>
          <w:lang w:val="uk-UA"/>
        </w:rPr>
        <w:t>Підпроцеси і групи підпроцесів життєвого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19C1">
        <w:rPr>
          <w:rFonts w:ascii="Times New Roman" w:hAnsi="Times New Roman" w:cs="Times New Roman"/>
          <w:sz w:val="28"/>
          <w:szCs w:val="28"/>
          <w:lang w:val="uk-UA"/>
        </w:rPr>
        <w:t>циклу ПЗ відповідно до стандарту ISO/IEC/IEEE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19C1">
        <w:rPr>
          <w:rFonts w:ascii="Times New Roman" w:hAnsi="Times New Roman" w:cs="Times New Roman"/>
          <w:sz w:val="28"/>
          <w:szCs w:val="28"/>
          <w:lang w:val="uk-UA"/>
        </w:rPr>
        <w:t>12207 наведено у табл. 1.</w:t>
      </w:r>
    </w:p>
    <w:p w:rsidR="00B7219B" w:rsidRPr="00B83859" w:rsidRDefault="00B7219B" w:rsidP="00B7219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3859">
        <w:rPr>
          <w:rFonts w:ascii="Times New Roman" w:hAnsi="Times New Roman" w:cs="Times New Roman"/>
          <w:sz w:val="28"/>
          <w:szCs w:val="28"/>
          <w:lang w:val="uk-UA"/>
        </w:rPr>
        <w:t>Як видно з цієї таблиці, усі процеси поділяються на процеси системного контексту та програмно-орієнтовані процеси. Процеси системного контексту поділяються на процеси угоди, організаційні процеси, що сприяють реалізації проектів, процеси проекту і технічні процеси. Програмно-орієнтовані процеси поділяються на процеси впровадження ПЗ, процеси підтримки ПЗ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3859">
        <w:rPr>
          <w:rFonts w:ascii="Times New Roman" w:hAnsi="Times New Roman" w:cs="Times New Roman"/>
          <w:sz w:val="28"/>
          <w:szCs w:val="28"/>
          <w:lang w:val="uk-UA"/>
        </w:rPr>
        <w:t>процеси повторного використання ПЗ. Кожен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3859">
        <w:rPr>
          <w:rFonts w:ascii="Times New Roman" w:hAnsi="Times New Roman" w:cs="Times New Roman"/>
          <w:sz w:val="28"/>
          <w:szCs w:val="28"/>
          <w:lang w:val="uk-UA"/>
        </w:rPr>
        <w:t>підпроцесів має свою групу підпроцесів. Всі ці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3859">
        <w:rPr>
          <w:rFonts w:ascii="Times New Roman" w:hAnsi="Times New Roman" w:cs="Times New Roman"/>
          <w:sz w:val="28"/>
          <w:szCs w:val="28"/>
          <w:lang w:val="uk-UA"/>
        </w:rPr>
        <w:t>процеси і підпроцеси можуть бути застосовані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3859">
        <w:rPr>
          <w:rFonts w:ascii="Times New Roman" w:hAnsi="Times New Roman" w:cs="Times New Roman"/>
          <w:sz w:val="28"/>
          <w:szCs w:val="28"/>
          <w:lang w:val="uk-UA"/>
        </w:rPr>
        <w:t>для ПЗ, однак необхідна деталізація групи підпроцесів, що відносяться до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3859">
        <w:rPr>
          <w:rFonts w:ascii="Times New Roman" w:hAnsi="Times New Roman" w:cs="Times New Roman"/>
          <w:sz w:val="28"/>
          <w:szCs w:val="28"/>
          <w:lang w:val="uk-UA"/>
        </w:rPr>
        <w:t>технічних процесів.</w:t>
      </w:r>
    </w:p>
    <w:p w:rsidR="00B7219B" w:rsidRPr="00B83859" w:rsidRDefault="00B7219B" w:rsidP="00B7219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3859">
        <w:rPr>
          <w:rFonts w:ascii="Times New Roman" w:hAnsi="Times New Roman" w:cs="Times New Roman"/>
          <w:sz w:val="28"/>
          <w:szCs w:val="28"/>
          <w:lang w:val="uk-UA"/>
        </w:rPr>
        <w:t>Зазначений стандарт також забезпечує процеси, які можна використовувати для визначення, контролю та вдосконалення процесів життєвого циклу ПЗ в організації чи проекті. Процеси, діяльність та завдання у ньому можуть також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3859">
        <w:rPr>
          <w:rFonts w:ascii="Times New Roman" w:hAnsi="Times New Roman" w:cs="Times New Roman"/>
          <w:sz w:val="28"/>
          <w:szCs w:val="28"/>
          <w:lang w:val="uk-UA"/>
        </w:rPr>
        <w:t>застосовуватися під час придбання системи, яка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3859">
        <w:rPr>
          <w:rFonts w:ascii="Times New Roman" w:hAnsi="Times New Roman" w:cs="Times New Roman"/>
          <w:sz w:val="28"/>
          <w:szCs w:val="28"/>
          <w:lang w:val="uk-UA"/>
        </w:rPr>
        <w:t>містить ПЗ, самостійно або спільно зі стандартом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3859">
        <w:rPr>
          <w:rFonts w:ascii="Times New Roman" w:hAnsi="Times New Roman" w:cs="Times New Roman"/>
          <w:sz w:val="28"/>
          <w:szCs w:val="28"/>
          <w:lang w:val="uk-UA"/>
        </w:rPr>
        <w:t>ISO/IEC/IEEE 15288, який гармонізований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3859">
        <w:rPr>
          <w:rFonts w:ascii="Times New Roman" w:hAnsi="Times New Roman" w:cs="Times New Roman"/>
          <w:sz w:val="28"/>
          <w:szCs w:val="28"/>
          <w:lang w:val="uk-UA"/>
        </w:rPr>
        <w:t>Україні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B83859">
        <w:rPr>
          <w:rFonts w:ascii="Times New Roman" w:hAnsi="Times New Roman" w:cs="Times New Roman"/>
          <w:sz w:val="28"/>
          <w:szCs w:val="28"/>
          <w:lang w:val="uk-UA"/>
        </w:rPr>
        <w:t xml:space="preserve"> Процеси впровадження ПЗ використовуються для створення певного системного елемента,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3859">
        <w:rPr>
          <w:rFonts w:ascii="Times New Roman" w:hAnsi="Times New Roman" w:cs="Times New Roman"/>
          <w:sz w:val="28"/>
          <w:szCs w:val="28"/>
          <w:lang w:val="uk-UA"/>
        </w:rPr>
        <w:t>реалізованого в ПЗ. Ці процеси перетворюють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3859">
        <w:rPr>
          <w:rFonts w:ascii="Times New Roman" w:hAnsi="Times New Roman" w:cs="Times New Roman"/>
          <w:sz w:val="28"/>
          <w:szCs w:val="28"/>
          <w:lang w:val="uk-UA"/>
        </w:rPr>
        <w:t>задану поведінку, інтерфейси та обмеження 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3859">
        <w:rPr>
          <w:rFonts w:ascii="Times New Roman" w:hAnsi="Times New Roman" w:cs="Times New Roman"/>
          <w:sz w:val="28"/>
          <w:szCs w:val="28"/>
          <w:lang w:val="uk-UA"/>
        </w:rPr>
        <w:t>реалізацію в дії щодо впровадження ПЗ, в результаті чого системний елемент повинен задовольняти вимоги, що випливають із системних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3859">
        <w:rPr>
          <w:rFonts w:ascii="Times New Roman" w:hAnsi="Times New Roman" w:cs="Times New Roman"/>
          <w:sz w:val="28"/>
          <w:szCs w:val="28"/>
          <w:lang w:val="uk-UA"/>
        </w:rPr>
        <w:t>вимог. Кінцевим елементом підгрупи процесу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3859">
        <w:rPr>
          <w:rFonts w:ascii="Times New Roman" w:hAnsi="Times New Roman" w:cs="Times New Roman"/>
          <w:sz w:val="28"/>
          <w:szCs w:val="28"/>
          <w:lang w:val="uk-UA"/>
        </w:rPr>
        <w:t>впровадження ПЗ є процес тестування придатності ПЗ до встановленого застосування. Основною його метою є підтвердження того, що інтегроване ПЗ відповідає встановленим замовником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3859">
        <w:rPr>
          <w:rFonts w:ascii="Times New Roman" w:hAnsi="Times New Roman" w:cs="Times New Roman"/>
          <w:sz w:val="28"/>
          <w:szCs w:val="28"/>
          <w:lang w:val="uk-UA"/>
        </w:rPr>
        <w:t>вимогам.</w:t>
      </w:r>
    </w:p>
    <w:p w:rsidR="00B7219B" w:rsidRPr="00B83859" w:rsidRDefault="00B7219B" w:rsidP="00B7219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B83859">
        <w:rPr>
          <w:rFonts w:ascii="Times New Roman" w:hAnsi="Times New Roman" w:cs="Times New Roman"/>
          <w:sz w:val="28"/>
          <w:szCs w:val="28"/>
          <w:lang w:val="uk-UA"/>
        </w:rPr>
        <w:t>Тестування ПЗ є процесом багаторазового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3859">
        <w:rPr>
          <w:rFonts w:ascii="Times New Roman" w:hAnsi="Times New Roman" w:cs="Times New Roman"/>
          <w:sz w:val="28"/>
          <w:szCs w:val="28"/>
          <w:lang w:val="uk-UA"/>
        </w:rPr>
        <w:t>повторення його роботи з метою виявлення можливих помилок. Основна мета виділення тестування як окремого етапу створення ПЗ полягає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3859">
        <w:rPr>
          <w:rFonts w:ascii="Times New Roman" w:hAnsi="Times New Roman" w:cs="Times New Roman"/>
          <w:sz w:val="28"/>
          <w:szCs w:val="28"/>
          <w:lang w:val="uk-UA"/>
        </w:rPr>
        <w:t>тому, щоб звернути увагу на обов’язковість цього етапу і необхідність спеціального планування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3859">
        <w:rPr>
          <w:rFonts w:ascii="Times New Roman" w:hAnsi="Times New Roman" w:cs="Times New Roman"/>
          <w:sz w:val="28"/>
          <w:szCs w:val="28"/>
          <w:lang w:val="uk-UA"/>
        </w:rPr>
        <w:t>певних витрат щодо нього. Відомо два традиційні підходи (методи) тестування придатності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3859">
        <w:rPr>
          <w:rFonts w:ascii="Times New Roman" w:hAnsi="Times New Roman" w:cs="Times New Roman"/>
          <w:sz w:val="28"/>
          <w:szCs w:val="28"/>
          <w:lang w:val="uk-UA"/>
        </w:rPr>
        <w:t>ПЗ: «чорний ящик» (без доступу до початкового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3859">
        <w:rPr>
          <w:rFonts w:ascii="Times New Roman" w:hAnsi="Times New Roman" w:cs="Times New Roman"/>
          <w:sz w:val="28"/>
          <w:szCs w:val="28"/>
          <w:lang w:val="uk-UA"/>
        </w:rPr>
        <w:t>коду) і «білий ящик» (з доступом до початкового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3859">
        <w:rPr>
          <w:rFonts w:ascii="Times New Roman" w:hAnsi="Times New Roman" w:cs="Times New Roman"/>
          <w:sz w:val="28"/>
          <w:szCs w:val="28"/>
          <w:lang w:val="uk-UA"/>
        </w:rPr>
        <w:t xml:space="preserve">коду). </w:t>
      </w:r>
    </w:p>
    <w:p w:rsidR="00E322B4" w:rsidRDefault="00E322B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E322B4" w:rsidRDefault="00E322B4" w:rsidP="00481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  <w:sectPr w:rsidR="00E322B4" w:rsidSect="006024E1">
          <w:headerReference w:type="default" r:id="rId8"/>
          <w:footerReference w:type="default" r:id="rId9"/>
          <w:pgSz w:w="12240" w:h="15840"/>
          <w:pgMar w:top="567" w:right="567" w:bottom="567" w:left="1701" w:header="142" w:footer="408" w:gutter="0"/>
          <w:cols w:space="708"/>
          <w:docGrid w:linePitch="360"/>
        </w:sectPr>
      </w:pPr>
    </w:p>
    <w:p w:rsidR="004819C1" w:rsidRPr="00E322B4" w:rsidRDefault="004819C1" w:rsidP="00E322B4">
      <w:pPr>
        <w:shd w:val="clear" w:color="auto" w:fill="FFFFFF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322B4">
        <w:rPr>
          <w:rFonts w:ascii="Times New Roman" w:hAnsi="Times New Roman" w:cs="Times New Roman"/>
          <w:sz w:val="28"/>
          <w:szCs w:val="28"/>
          <w:lang w:val="uk-UA"/>
        </w:rPr>
        <w:lastRenderedPageBreak/>
        <w:t>Таблиця 1 – Послідовність групи підпроцесів життєвого циклу ПЗ</w:t>
      </w:r>
    </w:p>
    <w:tbl>
      <w:tblPr>
        <w:tblStyle w:val="ad"/>
        <w:tblW w:w="0" w:type="auto"/>
        <w:tblLook w:val="04A0"/>
      </w:tblPr>
      <w:tblGrid>
        <w:gridCol w:w="660"/>
        <w:gridCol w:w="1728"/>
        <w:gridCol w:w="2425"/>
        <w:gridCol w:w="1978"/>
        <w:gridCol w:w="2151"/>
        <w:gridCol w:w="2028"/>
        <w:gridCol w:w="1978"/>
        <w:gridCol w:w="1974"/>
      </w:tblGrid>
      <w:tr w:rsidR="007C0574" w:rsidTr="003A7F8A">
        <w:trPr>
          <w:tblHeader/>
        </w:trPr>
        <w:tc>
          <w:tcPr>
            <w:tcW w:w="705" w:type="dxa"/>
          </w:tcPr>
          <w:p w:rsidR="007C0574" w:rsidRDefault="007C0574" w:rsidP="004819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191" w:type="dxa"/>
            <w:gridSpan w:val="4"/>
          </w:tcPr>
          <w:p w:rsidR="007C0574" w:rsidRPr="007C0574" w:rsidRDefault="007C0574" w:rsidP="007C0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05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Процеси системного контексту </w:t>
            </w:r>
          </w:p>
        </w:tc>
        <w:tc>
          <w:tcPr>
            <w:tcW w:w="6026" w:type="dxa"/>
            <w:gridSpan w:val="3"/>
          </w:tcPr>
          <w:p w:rsidR="007C0574" w:rsidRPr="007C0574" w:rsidRDefault="007C0574" w:rsidP="004819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05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Програмно-орієнтовані процеси</w:t>
            </w:r>
          </w:p>
        </w:tc>
      </w:tr>
      <w:tr w:rsidR="003A7F8A" w:rsidTr="003A7F8A">
        <w:trPr>
          <w:cantSplit/>
          <w:trHeight w:val="1406"/>
        </w:trPr>
        <w:tc>
          <w:tcPr>
            <w:tcW w:w="705" w:type="dxa"/>
            <w:textDirection w:val="btLr"/>
          </w:tcPr>
          <w:p w:rsidR="007C0574" w:rsidRDefault="007C0574" w:rsidP="00E322B4">
            <w:pPr>
              <w:autoSpaceDE w:val="0"/>
              <w:autoSpaceDN w:val="0"/>
              <w:adjustRightInd w:val="0"/>
              <w:ind w:left="113" w:right="11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Підпроцеси</w:t>
            </w:r>
          </w:p>
        </w:tc>
        <w:tc>
          <w:tcPr>
            <w:tcW w:w="1793" w:type="dxa"/>
            <w:vAlign w:val="center"/>
          </w:tcPr>
          <w:p w:rsidR="007C0574" w:rsidRPr="007C0574" w:rsidRDefault="007C0574" w:rsidP="007C05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05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Процеси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7C05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угоди</w:t>
            </w:r>
          </w:p>
        </w:tc>
        <w:tc>
          <w:tcPr>
            <w:tcW w:w="2476" w:type="dxa"/>
            <w:vAlign w:val="center"/>
          </w:tcPr>
          <w:p w:rsidR="007C0574" w:rsidRPr="007C0574" w:rsidRDefault="007C0574" w:rsidP="007C05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05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Організаційні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7C05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процеси, що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7C05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сприяють реалізації проектів</w:t>
            </w:r>
          </w:p>
        </w:tc>
        <w:tc>
          <w:tcPr>
            <w:tcW w:w="1771" w:type="dxa"/>
            <w:vAlign w:val="center"/>
          </w:tcPr>
          <w:p w:rsidR="007C0574" w:rsidRPr="007C0574" w:rsidRDefault="007C0574" w:rsidP="007C05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05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Процеси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7C05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проекту</w:t>
            </w:r>
          </w:p>
        </w:tc>
        <w:tc>
          <w:tcPr>
            <w:tcW w:w="2151" w:type="dxa"/>
            <w:vAlign w:val="center"/>
          </w:tcPr>
          <w:p w:rsidR="007C0574" w:rsidRPr="007C0574" w:rsidRDefault="007C0574" w:rsidP="007C05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057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Технічні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r w:rsidRPr="007C057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процеси</w:t>
            </w:r>
          </w:p>
        </w:tc>
        <w:tc>
          <w:tcPr>
            <w:tcW w:w="2028" w:type="dxa"/>
            <w:vAlign w:val="center"/>
          </w:tcPr>
          <w:p w:rsidR="007C0574" w:rsidRPr="007C0574" w:rsidRDefault="007C0574" w:rsidP="007C05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057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Процеси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r w:rsidRPr="007C057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впровадження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r w:rsidRPr="007C057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ПЗ</w:t>
            </w:r>
          </w:p>
        </w:tc>
        <w:tc>
          <w:tcPr>
            <w:tcW w:w="1978" w:type="dxa"/>
            <w:vAlign w:val="center"/>
          </w:tcPr>
          <w:p w:rsidR="007C0574" w:rsidRPr="007C0574" w:rsidRDefault="007C0574" w:rsidP="007C05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057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Процеси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r w:rsidRPr="007C057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підтримки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r w:rsidRPr="007C057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ПЗ</w:t>
            </w:r>
          </w:p>
        </w:tc>
        <w:tc>
          <w:tcPr>
            <w:tcW w:w="2020" w:type="dxa"/>
            <w:vAlign w:val="center"/>
          </w:tcPr>
          <w:p w:rsidR="007C0574" w:rsidRPr="007C0574" w:rsidRDefault="007C0574" w:rsidP="007C05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05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Процеси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7C05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повторного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7C05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використання ПЗ</w:t>
            </w:r>
          </w:p>
        </w:tc>
      </w:tr>
      <w:tr w:rsidR="003A7F8A" w:rsidTr="003A7F8A">
        <w:tc>
          <w:tcPr>
            <w:tcW w:w="705" w:type="dxa"/>
            <w:vMerge w:val="restart"/>
            <w:textDirection w:val="btLr"/>
          </w:tcPr>
          <w:p w:rsidR="003A7F8A" w:rsidRPr="007C0574" w:rsidRDefault="003A7F8A" w:rsidP="007C0574">
            <w:pPr>
              <w:autoSpaceDE w:val="0"/>
              <w:autoSpaceDN w:val="0"/>
              <w:adjustRightInd w:val="0"/>
              <w:ind w:left="113" w:right="11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05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Групи підпроцесів</w:t>
            </w:r>
          </w:p>
        </w:tc>
        <w:tc>
          <w:tcPr>
            <w:tcW w:w="1793" w:type="dxa"/>
          </w:tcPr>
          <w:p w:rsidR="003A7F8A" w:rsidRPr="007C0574" w:rsidRDefault="003A7F8A" w:rsidP="007C05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05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Процеси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7C05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придбання</w:t>
            </w:r>
          </w:p>
        </w:tc>
        <w:tc>
          <w:tcPr>
            <w:tcW w:w="2476" w:type="dxa"/>
          </w:tcPr>
          <w:p w:rsidR="003A7F8A" w:rsidRPr="007C0574" w:rsidRDefault="003A7F8A" w:rsidP="007C05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05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Процес управління моделлю життєвого циклу</w:t>
            </w:r>
          </w:p>
        </w:tc>
        <w:tc>
          <w:tcPr>
            <w:tcW w:w="1771" w:type="dxa"/>
          </w:tcPr>
          <w:p w:rsidR="003A7F8A" w:rsidRPr="007C0574" w:rsidRDefault="003A7F8A" w:rsidP="007C05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05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Процес планування проекту </w:t>
            </w:r>
          </w:p>
        </w:tc>
        <w:tc>
          <w:tcPr>
            <w:tcW w:w="2151" w:type="dxa"/>
          </w:tcPr>
          <w:p w:rsidR="003A7F8A" w:rsidRPr="007C0574" w:rsidRDefault="003A7F8A" w:rsidP="007C05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05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Процес визначення вимог зацікавлених сторін</w:t>
            </w:r>
          </w:p>
        </w:tc>
        <w:tc>
          <w:tcPr>
            <w:tcW w:w="2028" w:type="dxa"/>
          </w:tcPr>
          <w:p w:rsidR="003A7F8A" w:rsidRPr="007C0574" w:rsidRDefault="003A7F8A" w:rsidP="007C05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05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Процес аналізу вимог до ПЗ </w:t>
            </w:r>
          </w:p>
        </w:tc>
        <w:tc>
          <w:tcPr>
            <w:tcW w:w="1978" w:type="dxa"/>
          </w:tcPr>
          <w:p w:rsidR="003A7F8A" w:rsidRPr="007C0574" w:rsidRDefault="003A7F8A" w:rsidP="007C05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05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Процес управління документами ПЗ</w:t>
            </w:r>
          </w:p>
        </w:tc>
        <w:tc>
          <w:tcPr>
            <w:tcW w:w="2020" w:type="dxa"/>
          </w:tcPr>
          <w:p w:rsidR="003A7F8A" w:rsidRPr="007C0574" w:rsidRDefault="003A7F8A" w:rsidP="007C05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05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Процес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7C05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доменної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7C05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інженерії</w:t>
            </w:r>
          </w:p>
        </w:tc>
      </w:tr>
      <w:tr w:rsidR="003A7F8A" w:rsidRPr="002804C1" w:rsidTr="003A7F8A">
        <w:tc>
          <w:tcPr>
            <w:tcW w:w="705" w:type="dxa"/>
            <w:vMerge/>
          </w:tcPr>
          <w:p w:rsidR="003A7F8A" w:rsidRDefault="003A7F8A" w:rsidP="004819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793" w:type="dxa"/>
          </w:tcPr>
          <w:p w:rsidR="003A7F8A" w:rsidRPr="007C0574" w:rsidRDefault="003A7F8A" w:rsidP="003A7F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05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Процеси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7C05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постачання</w:t>
            </w:r>
          </w:p>
        </w:tc>
        <w:tc>
          <w:tcPr>
            <w:tcW w:w="2476" w:type="dxa"/>
          </w:tcPr>
          <w:p w:rsidR="003A7F8A" w:rsidRPr="007C0574" w:rsidRDefault="003A7F8A" w:rsidP="003A7F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05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Процес управління інфраструктурою</w:t>
            </w:r>
          </w:p>
        </w:tc>
        <w:tc>
          <w:tcPr>
            <w:tcW w:w="1771" w:type="dxa"/>
          </w:tcPr>
          <w:p w:rsidR="003A7F8A" w:rsidRPr="007C0574" w:rsidRDefault="003A7F8A" w:rsidP="003A7F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F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Процес оцінки та контролю проекту </w:t>
            </w:r>
          </w:p>
        </w:tc>
        <w:tc>
          <w:tcPr>
            <w:tcW w:w="2151" w:type="dxa"/>
          </w:tcPr>
          <w:p w:rsidR="003A7F8A" w:rsidRPr="007C0574" w:rsidRDefault="003A7F8A" w:rsidP="003A7F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F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Процес аналізу системних вимог</w:t>
            </w:r>
          </w:p>
        </w:tc>
        <w:tc>
          <w:tcPr>
            <w:tcW w:w="2028" w:type="dxa"/>
          </w:tcPr>
          <w:p w:rsidR="003A7F8A" w:rsidRPr="007C0574" w:rsidRDefault="003A7F8A" w:rsidP="003A7F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F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Процес архітектурного проектування ПЗ</w:t>
            </w:r>
          </w:p>
        </w:tc>
        <w:tc>
          <w:tcPr>
            <w:tcW w:w="1978" w:type="dxa"/>
          </w:tcPr>
          <w:p w:rsidR="003A7F8A" w:rsidRPr="007C0574" w:rsidRDefault="003A7F8A" w:rsidP="003A7F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F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Процес управління конфігурацією ПЗ</w:t>
            </w:r>
          </w:p>
        </w:tc>
        <w:tc>
          <w:tcPr>
            <w:tcW w:w="2020" w:type="dxa"/>
          </w:tcPr>
          <w:p w:rsidR="003A7F8A" w:rsidRPr="007C0574" w:rsidRDefault="003A7F8A" w:rsidP="003A7F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05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Повторне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7C05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використання процесу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7C05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управління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7C05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активами</w:t>
            </w:r>
          </w:p>
        </w:tc>
      </w:tr>
      <w:tr w:rsidR="003A7F8A" w:rsidRPr="002804C1" w:rsidTr="003A7F8A">
        <w:tc>
          <w:tcPr>
            <w:tcW w:w="705" w:type="dxa"/>
            <w:vMerge/>
          </w:tcPr>
          <w:p w:rsidR="003A7F8A" w:rsidRDefault="003A7F8A" w:rsidP="004819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793" w:type="dxa"/>
            <w:shd w:val="clear" w:color="auto" w:fill="DAEEF3" w:themeFill="accent5" w:themeFillTint="33"/>
          </w:tcPr>
          <w:p w:rsidR="003A7F8A" w:rsidRDefault="003A7F8A" w:rsidP="004819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76" w:type="dxa"/>
            <w:vAlign w:val="center"/>
          </w:tcPr>
          <w:p w:rsidR="003A7F8A" w:rsidRPr="003A7F8A" w:rsidRDefault="003A7F8A" w:rsidP="003A7F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F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Процес управління портфелем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</w:t>
            </w:r>
            <w:r w:rsidRPr="003A7F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проектів</w:t>
            </w:r>
          </w:p>
        </w:tc>
        <w:tc>
          <w:tcPr>
            <w:tcW w:w="1771" w:type="dxa"/>
            <w:vAlign w:val="center"/>
          </w:tcPr>
          <w:p w:rsidR="003A7F8A" w:rsidRPr="003A7F8A" w:rsidRDefault="003A7F8A" w:rsidP="003A7F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F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Процес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3A7F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управління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3A7F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рішеннями</w:t>
            </w:r>
          </w:p>
        </w:tc>
        <w:tc>
          <w:tcPr>
            <w:tcW w:w="2151" w:type="dxa"/>
            <w:vAlign w:val="center"/>
          </w:tcPr>
          <w:p w:rsidR="003A7F8A" w:rsidRPr="003A7F8A" w:rsidRDefault="003A7F8A" w:rsidP="003A7F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F8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Процес архітектурного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r w:rsidRPr="003A7F8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проектування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r w:rsidRPr="003A7F8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ПЗ</w:t>
            </w:r>
          </w:p>
        </w:tc>
        <w:tc>
          <w:tcPr>
            <w:tcW w:w="2028" w:type="dxa"/>
            <w:vAlign w:val="center"/>
          </w:tcPr>
          <w:p w:rsidR="003A7F8A" w:rsidRPr="003A7F8A" w:rsidRDefault="003A7F8A" w:rsidP="003A7F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F8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Процес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r w:rsidRPr="003A7F8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розробки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r w:rsidRPr="003A7F8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ПЗ</w:t>
            </w:r>
          </w:p>
        </w:tc>
        <w:tc>
          <w:tcPr>
            <w:tcW w:w="1978" w:type="dxa"/>
            <w:vAlign w:val="center"/>
          </w:tcPr>
          <w:p w:rsidR="003A7F8A" w:rsidRPr="003A7F8A" w:rsidRDefault="003A7F8A" w:rsidP="003A7F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F8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Процес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r w:rsidRPr="003A7F8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забезпечення якості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r w:rsidRPr="003A7F8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ПЗ</w:t>
            </w:r>
          </w:p>
        </w:tc>
        <w:tc>
          <w:tcPr>
            <w:tcW w:w="2020" w:type="dxa"/>
            <w:vAlign w:val="center"/>
          </w:tcPr>
          <w:p w:rsidR="003A7F8A" w:rsidRPr="003A7F8A" w:rsidRDefault="003A7F8A" w:rsidP="003A7F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F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Повторне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3A7F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використання процесу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3A7F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управління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3A7F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програмою</w:t>
            </w:r>
          </w:p>
        </w:tc>
      </w:tr>
      <w:tr w:rsidR="003A7F8A" w:rsidTr="003A7F8A">
        <w:tc>
          <w:tcPr>
            <w:tcW w:w="705" w:type="dxa"/>
            <w:vMerge/>
          </w:tcPr>
          <w:p w:rsidR="003A7F8A" w:rsidRDefault="003A7F8A" w:rsidP="004819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793" w:type="dxa"/>
            <w:shd w:val="clear" w:color="auto" w:fill="DAEEF3" w:themeFill="accent5" w:themeFillTint="33"/>
          </w:tcPr>
          <w:p w:rsidR="003A7F8A" w:rsidRDefault="003A7F8A" w:rsidP="004819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76" w:type="dxa"/>
            <w:vAlign w:val="center"/>
          </w:tcPr>
          <w:p w:rsidR="003A7F8A" w:rsidRPr="003A7F8A" w:rsidRDefault="003A7F8A" w:rsidP="003A7F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F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Процес управління людськими ресурсами</w:t>
            </w:r>
          </w:p>
        </w:tc>
        <w:tc>
          <w:tcPr>
            <w:tcW w:w="1771" w:type="dxa"/>
            <w:vAlign w:val="center"/>
          </w:tcPr>
          <w:p w:rsidR="003A7F8A" w:rsidRPr="003A7F8A" w:rsidRDefault="003A7F8A" w:rsidP="003A7F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F8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Процес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r w:rsidRPr="003A7F8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управління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r w:rsidRPr="003A7F8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ризиками</w:t>
            </w:r>
          </w:p>
        </w:tc>
        <w:tc>
          <w:tcPr>
            <w:tcW w:w="2151" w:type="dxa"/>
            <w:vAlign w:val="center"/>
          </w:tcPr>
          <w:p w:rsidR="003A7F8A" w:rsidRPr="003A7F8A" w:rsidRDefault="003A7F8A" w:rsidP="003A7F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F8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Процес впровадження</w:t>
            </w:r>
          </w:p>
        </w:tc>
        <w:tc>
          <w:tcPr>
            <w:tcW w:w="2028" w:type="dxa"/>
            <w:vAlign w:val="center"/>
          </w:tcPr>
          <w:p w:rsidR="003A7F8A" w:rsidRPr="003A7F8A" w:rsidRDefault="003A7F8A" w:rsidP="003A7F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F8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Процес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r w:rsidRPr="003A7F8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створення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r w:rsidRPr="003A7F8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ПЗ</w:t>
            </w:r>
          </w:p>
        </w:tc>
        <w:tc>
          <w:tcPr>
            <w:tcW w:w="1978" w:type="dxa"/>
            <w:vAlign w:val="center"/>
          </w:tcPr>
          <w:p w:rsidR="003A7F8A" w:rsidRPr="003A7F8A" w:rsidRDefault="003A7F8A" w:rsidP="003A7F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F8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Процес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r w:rsidRPr="003A7F8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верифікації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r w:rsidRPr="003A7F8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ПЗ</w:t>
            </w:r>
          </w:p>
        </w:tc>
        <w:tc>
          <w:tcPr>
            <w:tcW w:w="2020" w:type="dxa"/>
            <w:shd w:val="clear" w:color="auto" w:fill="DAEEF3" w:themeFill="accent5" w:themeFillTint="33"/>
          </w:tcPr>
          <w:p w:rsidR="003A7F8A" w:rsidRDefault="003A7F8A" w:rsidP="004819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3A7F8A" w:rsidTr="003A7F8A">
        <w:tc>
          <w:tcPr>
            <w:tcW w:w="705" w:type="dxa"/>
            <w:vMerge/>
          </w:tcPr>
          <w:p w:rsidR="003A7F8A" w:rsidRDefault="003A7F8A" w:rsidP="00B83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793" w:type="dxa"/>
            <w:shd w:val="clear" w:color="auto" w:fill="DAEEF3" w:themeFill="accent5" w:themeFillTint="33"/>
          </w:tcPr>
          <w:p w:rsidR="003A7F8A" w:rsidRDefault="003A7F8A" w:rsidP="00B83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76" w:type="dxa"/>
            <w:vAlign w:val="center"/>
          </w:tcPr>
          <w:p w:rsidR="003A7F8A" w:rsidRPr="003A7F8A" w:rsidRDefault="003A7F8A" w:rsidP="003A7F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F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Процес управління якістю</w:t>
            </w:r>
          </w:p>
        </w:tc>
        <w:tc>
          <w:tcPr>
            <w:tcW w:w="1771" w:type="dxa"/>
            <w:vAlign w:val="center"/>
          </w:tcPr>
          <w:p w:rsidR="003A7F8A" w:rsidRPr="003A7F8A" w:rsidRDefault="003A7F8A" w:rsidP="00EE006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F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Процес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3A7F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управління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3A7F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конфігурацією</w:t>
            </w:r>
          </w:p>
        </w:tc>
        <w:tc>
          <w:tcPr>
            <w:tcW w:w="2151" w:type="dxa"/>
            <w:vAlign w:val="center"/>
          </w:tcPr>
          <w:p w:rsidR="003A7F8A" w:rsidRPr="003A7F8A" w:rsidRDefault="003A7F8A" w:rsidP="003A7F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F8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Процес системної інтеграції</w:t>
            </w:r>
          </w:p>
        </w:tc>
        <w:tc>
          <w:tcPr>
            <w:tcW w:w="2028" w:type="dxa"/>
            <w:vAlign w:val="center"/>
          </w:tcPr>
          <w:p w:rsidR="003A7F8A" w:rsidRPr="003A7F8A" w:rsidRDefault="003A7F8A" w:rsidP="003A7F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F8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Процес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r w:rsidRPr="003A7F8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інтеграції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r w:rsidRPr="003A7F8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ПЗ</w:t>
            </w:r>
          </w:p>
        </w:tc>
        <w:tc>
          <w:tcPr>
            <w:tcW w:w="1978" w:type="dxa"/>
            <w:vAlign w:val="center"/>
          </w:tcPr>
          <w:p w:rsidR="003A7F8A" w:rsidRPr="003A7F8A" w:rsidRDefault="003A7F8A" w:rsidP="003A7F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F8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Процес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r w:rsidRPr="003A7F8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валідації ПЗ</w:t>
            </w:r>
          </w:p>
        </w:tc>
        <w:tc>
          <w:tcPr>
            <w:tcW w:w="2020" w:type="dxa"/>
            <w:shd w:val="clear" w:color="auto" w:fill="DAEEF3" w:themeFill="accent5" w:themeFillTint="33"/>
          </w:tcPr>
          <w:p w:rsidR="003A7F8A" w:rsidRDefault="003A7F8A" w:rsidP="00B83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3A7F8A" w:rsidTr="003A7F8A">
        <w:tc>
          <w:tcPr>
            <w:tcW w:w="705" w:type="dxa"/>
            <w:vMerge/>
          </w:tcPr>
          <w:p w:rsidR="003A7F8A" w:rsidRDefault="003A7F8A" w:rsidP="00B83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793" w:type="dxa"/>
            <w:shd w:val="clear" w:color="auto" w:fill="DAEEF3" w:themeFill="accent5" w:themeFillTint="33"/>
          </w:tcPr>
          <w:p w:rsidR="003A7F8A" w:rsidRDefault="003A7F8A" w:rsidP="00B83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76" w:type="dxa"/>
            <w:shd w:val="clear" w:color="auto" w:fill="DAEEF3" w:themeFill="accent5" w:themeFillTint="33"/>
          </w:tcPr>
          <w:p w:rsidR="003A7F8A" w:rsidRPr="003A7F8A" w:rsidRDefault="003A7F8A" w:rsidP="00B83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771" w:type="dxa"/>
            <w:vAlign w:val="center"/>
          </w:tcPr>
          <w:p w:rsidR="003A7F8A" w:rsidRPr="003A7F8A" w:rsidRDefault="003A7F8A" w:rsidP="003A7F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F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Процес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3A7F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управління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3A7F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інформацією</w:t>
            </w:r>
          </w:p>
        </w:tc>
        <w:tc>
          <w:tcPr>
            <w:tcW w:w="2151" w:type="dxa"/>
            <w:vAlign w:val="center"/>
          </w:tcPr>
          <w:p w:rsidR="003A7F8A" w:rsidRPr="003A7F8A" w:rsidRDefault="003A7F8A" w:rsidP="003A7F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F8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lastRenderedPageBreak/>
              <w:t xml:space="preserve">Процес </w:t>
            </w:r>
            <w:r w:rsidRPr="003A7F8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lastRenderedPageBreak/>
              <w:t>тестування придатності системи</w:t>
            </w:r>
          </w:p>
        </w:tc>
        <w:tc>
          <w:tcPr>
            <w:tcW w:w="2028" w:type="dxa"/>
            <w:vAlign w:val="center"/>
          </w:tcPr>
          <w:p w:rsidR="003A7F8A" w:rsidRPr="003A7F8A" w:rsidRDefault="003A7F8A" w:rsidP="003A7F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F8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lastRenderedPageBreak/>
              <w:t>Процес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r w:rsidRPr="003A7F8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lastRenderedPageBreak/>
              <w:t>тестування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r w:rsidRPr="003A7F8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придатності ПЗ</w:t>
            </w:r>
          </w:p>
        </w:tc>
        <w:tc>
          <w:tcPr>
            <w:tcW w:w="1978" w:type="dxa"/>
            <w:vAlign w:val="center"/>
          </w:tcPr>
          <w:p w:rsidR="003A7F8A" w:rsidRPr="003A7F8A" w:rsidRDefault="003A7F8A" w:rsidP="003A7F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F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Процес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3A7F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огляду </w:t>
            </w:r>
            <w:r w:rsidRPr="003A7F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ПЗ</w:t>
            </w:r>
          </w:p>
        </w:tc>
        <w:tc>
          <w:tcPr>
            <w:tcW w:w="2020" w:type="dxa"/>
            <w:shd w:val="clear" w:color="auto" w:fill="DAEEF3" w:themeFill="accent5" w:themeFillTint="33"/>
          </w:tcPr>
          <w:p w:rsidR="003A7F8A" w:rsidRDefault="003A7F8A" w:rsidP="00B83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3A7F8A" w:rsidTr="003A7F8A">
        <w:tc>
          <w:tcPr>
            <w:tcW w:w="705" w:type="dxa"/>
            <w:vMerge/>
          </w:tcPr>
          <w:p w:rsidR="003A7F8A" w:rsidRDefault="003A7F8A" w:rsidP="00B83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793" w:type="dxa"/>
            <w:shd w:val="clear" w:color="auto" w:fill="DAEEF3" w:themeFill="accent5" w:themeFillTint="33"/>
          </w:tcPr>
          <w:p w:rsidR="003A7F8A" w:rsidRDefault="003A7F8A" w:rsidP="00B83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76" w:type="dxa"/>
            <w:shd w:val="clear" w:color="auto" w:fill="DAEEF3" w:themeFill="accent5" w:themeFillTint="33"/>
          </w:tcPr>
          <w:p w:rsidR="003A7F8A" w:rsidRDefault="003A7F8A" w:rsidP="00B83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771" w:type="dxa"/>
            <w:vAlign w:val="center"/>
          </w:tcPr>
          <w:p w:rsidR="003A7F8A" w:rsidRPr="003A7F8A" w:rsidRDefault="003A7F8A" w:rsidP="003A7F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F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Процес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3A7F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вимірювання</w:t>
            </w:r>
          </w:p>
        </w:tc>
        <w:tc>
          <w:tcPr>
            <w:tcW w:w="2151" w:type="dxa"/>
            <w:vAlign w:val="center"/>
          </w:tcPr>
          <w:p w:rsidR="003A7F8A" w:rsidRPr="003A7F8A" w:rsidRDefault="003A7F8A" w:rsidP="003A7F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F8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Процес встановлення ПЗ</w:t>
            </w:r>
          </w:p>
        </w:tc>
        <w:tc>
          <w:tcPr>
            <w:tcW w:w="2028" w:type="dxa"/>
            <w:shd w:val="clear" w:color="auto" w:fill="DAEEF3" w:themeFill="accent5" w:themeFillTint="33"/>
            <w:vAlign w:val="center"/>
          </w:tcPr>
          <w:p w:rsidR="003A7F8A" w:rsidRPr="003A7F8A" w:rsidRDefault="003A7F8A" w:rsidP="003A7F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78" w:type="dxa"/>
            <w:vAlign w:val="center"/>
          </w:tcPr>
          <w:p w:rsidR="003A7F8A" w:rsidRPr="003A7F8A" w:rsidRDefault="003A7F8A" w:rsidP="003A7F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F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Процес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3A7F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аудиту ПЗ</w:t>
            </w:r>
          </w:p>
        </w:tc>
        <w:tc>
          <w:tcPr>
            <w:tcW w:w="2020" w:type="dxa"/>
            <w:shd w:val="clear" w:color="auto" w:fill="DAEEF3" w:themeFill="accent5" w:themeFillTint="33"/>
          </w:tcPr>
          <w:p w:rsidR="003A7F8A" w:rsidRDefault="003A7F8A" w:rsidP="00B83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3A7F8A" w:rsidTr="003A7F8A">
        <w:tc>
          <w:tcPr>
            <w:tcW w:w="705" w:type="dxa"/>
            <w:vMerge/>
          </w:tcPr>
          <w:p w:rsidR="003A7F8A" w:rsidRDefault="003A7F8A" w:rsidP="00B83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793" w:type="dxa"/>
            <w:shd w:val="clear" w:color="auto" w:fill="DAEEF3" w:themeFill="accent5" w:themeFillTint="33"/>
          </w:tcPr>
          <w:p w:rsidR="003A7F8A" w:rsidRDefault="003A7F8A" w:rsidP="00B83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76" w:type="dxa"/>
            <w:shd w:val="clear" w:color="auto" w:fill="DAEEF3" w:themeFill="accent5" w:themeFillTint="33"/>
          </w:tcPr>
          <w:p w:rsidR="003A7F8A" w:rsidRDefault="003A7F8A" w:rsidP="00B83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771" w:type="dxa"/>
            <w:shd w:val="clear" w:color="auto" w:fill="DAEEF3" w:themeFill="accent5" w:themeFillTint="33"/>
            <w:vAlign w:val="center"/>
          </w:tcPr>
          <w:p w:rsidR="003A7F8A" w:rsidRPr="003A7F8A" w:rsidRDefault="003A7F8A" w:rsidP="003A7F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51" w:type="dxa"/>
            <w:vAlign w:val="center"/>
          </w:tcPr>
          <w:p w:rsidR="003A7F8A" w:rsidRPr="003A7F8A" w:rsidRDefault="003A7F8A" w:rsidP="003A7F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F8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Процес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r w:rsidRPr="003A7F8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підтримки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r w:rsidRPr="003A7F8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прийняття ПЗ</w:t>
            </w:r>
          </w:p>
        </w:tc>
        <w:tc>
          <w:tcPr>
            <w:tcW w:w="2028" w:type="dxa"/>
            <w:shd w:val="clear" w:color="auto" w:fill="DAEEF3" w:themeFill="accent5" w:themeFillTint="33"/>
            <w:vAlign w:val="center"/>
          </w:tcPr>
          <w:p w:rsidR="003A7F8A" w:rsidRPr="003A7F8A" w:rsidRDefault="003A7F8A" w:rsidP="003A7F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78" w:type="dxa"/>
            <w:vAlign w:val="center"/>
          </w:tcPr>
          <w:p w:rsidR="003A7F8A" w:rsidRPr="003A7F8A" w:rsidRDefault="003A7F8A" w:rsidP="003A7F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F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Процес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3A7F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вирішення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3A7F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проблем ПЗ</w:t>
            </w:r>
          </w:p>
        </w:tc>
        <w:tc>
          <w:tcPr>
            <w:tcW w:w="2020" w:type="dxa"/>
            <w:shd w:val="clear" w:color="auto" w:fill="DAEEF3" w:themeFill="accent5" w:themeFillTint="33"/>
          </w:tcPr>
          <w:p w:rsidR="003A7F8A" w:rsidRDefault="003A7F8A" w:rsidP="00B83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3A7F8A" w:rsidRPr="002804C1" w:rsidTr="003A7F8A">
        <w:tc>
          <w:tcPr>
            <w:tcW w:w="705" w:type="dxa"/>
            <w:vMerge/>
          </w:tcPr>
          <w:p w:rsidR="003A7F8A" w:rsidRDefault="003A7F8A" w:rsidP="00B83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793" w:type="dxa"/>
            <w:shd w:val="clear" w:color="auto" w:fill="DAEEF3" w:themeFill="accent5" w:themeFillTint="33"/>
          </w:tcPr>
          <w:p w:rsidR="003A7F8A" w:rsidRDefault="003A7F8A" w:rsidP="00B83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76" w:type="dxa"/>
          </w:tcPr>
          <w:p w:rsidR="003A7F8A" w:rsidRDefault="003A7F8A" w:rsidP="00B83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771" w:type="dxa"/>
            <w:shd w:val="clear" w:color="auto" w:fill="DAEEF3" w:themeFill="accent5" w:themeFillTint="33"/>
            <w:vAlign w:val="center"/>
          </w:tcPr>
          <w:p w:rsidR="003A7F8A" w:rsidRPr="003A7F8A" w:rsidRDefault="003A7F8A" w:rsidP="003A7F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51" w:type="dxa"/>
            <w:vAlign w:val="center"/>
          </w:tcPr>
          <w:p w:rsidR="003A7F8A" w:rsidRPr="003A7F8A" w:rsidRDefault="003A7F8A" w:rsidP="003A7F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A7F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Процеси роботи, обслуговування і видалення ПЗ</w:t>
            </w:r>
          </w:p>
        </w:tc>
        <w:tc>
          <w:tcPr>
            <w:tcW w:w="2028" w:type="dxa"/>
            <w:shd w:val="clear" w:color="auto" w:fill="DAEEF3" w:themeFill="accent5" w:themeFillTint="33"/>
            <w:vAlign w:val="center"/>
          </w:tcPr>
          <w:p w:rsidR="003A7F8A" w:rsidRPr="003A7F8A" w:rsidRDefault="003A7F8A" w:rsidP="003A7F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78" w:type="dxa"/>
            <w:shd w:val="clear" w:color="auto" w:fill="DAEEF3" w:themeFill="accent5" w:themeFillTint="33"/>
            <w:vAlign w:val="center"/>
          </w:tcPr>
          <w:p w:rsidR="003A7F8A" w:rsidRPr="003A7F8A" w:rsidRDefault="003A7F8A" w:rsidP="003A7F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020" w:type="dxa"/>
            <w:shd w:val="clear" w:color="auto" w:fill="DAEEF3" w:themeFill="accent5" w:themeFillTint="33"/>
          </w:tcPr>
          <w:p w:rsidR="003A7F8A" w:rsidRDefault="003A7F8A" w:rsidP="00B83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4819C1" w:rsidRDefault="004819C1" w:rsidP="004819C1">
      <w:pPr>
        <w:shd w:val="clear" w:color="auto" w:fill="FFFFFF"/>
        <w:spacing w:after="0" w:line="240" w:lineRule="auto"/>
        <w:rPr>
          <w:rFonts w:ascii="Times New Roman" w:hAnsi="Times New Roman" w:cs="Times New Roman"/>
          <w:lang w:val="uk-UA"/>
        </w:rPr>
      </w:pPr>
    </w:p>
    <w:p w:rsidR="00E322B4" w:rsidRDefault="00E322B4" w:rsidP="00481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uk-UA"/>
        </w:rPr>
      </w:pPr>
    </w:p>
    <w:p w:rsidR="00E322B4" w:rsidRDefault="00E322B4" w:rsidP="00481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uk-UA"/>
        </w:rPr>
        <w:sectPr w:rsidR="00E322B4" w:rsidSect="00E322B4">
          <w:pgSz w:w="15840" w:h="12240" w:orient="landscape"/>
          <w:pgMar w:top="567" w:right="567" w:bottom="1701" w:left="567" w:header="142" w:footer="408" w:gutter="0"/>
          <w:cols w:space="708"/>
          <w:docGrid w:linePitch="360"/>
        </w:sectPr>
      </w:pPr>
    </w:p>
    <w:p w:rsidR="00B83859" w:rsidRDefault="00B83859" w:rsidP="00B8385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B83859">
        <w:rPr>
          <w:rFonts w:ascii="Times New Roman" w:hAnsi="Times New Roman" w:cs="Times New Roman"/>
          <w:sz w:val="28"/>
          <w:szCs w:val="28"/>
          <w:lang w:val="uk-UA"/>
        </w:rPr>
        <w:lastRenderedPageBreak/>
        <w:t>Згідно з вимогами стандарту ISO/IEC/IEEE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3859">
        <w:rPr>
          <w:rFonts w:ascii="Times New Roman" w:hAnsi="Times New Roman" w:cs="Times New Roman"/>
          <w:sz w:val="28"/>
          <w:szCs w:val="28"/>
          <w:lang w:val="uk-UA"/>
        </w:rPr>
        <w:t>12207 у результаті успішної реалізації процесу тестування придатності ПЗ мають бути:</w:t>
      </w:r>
    </w:p>
    <w:p w:rsidR="00B83859" w:rsidRPr="00B83859" w:rsidRDefault="00B83859" w:rsidP="00B83859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B83859">
        <w:rPr>
          <w:rFonts w:cs="Times New Roman"/>
          <w:szCs w:val="28"/>
        </w:rPr>
        <w:t>розроблені критерії інтегрованого ПЗ, що</w:t>
      </w:r>
      <w:r w:rsidRPr="00B83859">
        <w:rPr>
          <w:rFonts w:cs="Times New Roman"/>
        </w:rPr>
        <w:t xml:space="preserve"> </w:t>
      </w:r>
      <w:r w:rsidRPr="00B83859">
        <w:rPr>
          <w:rFonts w:cs="Times New Roman"/>
          <w:szCs w:val="28"/>
        </w:rPr>
        <w:t>демонструє відповідність вимогам ПЗ;</w:t>
      </w:r>
    </w:p>
    <w:p w:rsidR="00B83859" w:rsidRPr="00B83859" w:rsidRDefault="00B83859" w:rsidP="00B83859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B83859">
        <w:rPr>
          <w:rFonts w:cs="Times New Roman"/>
          <w:szCs w:val="28"/>
        </w:rPr>
        <w:t>інтегроване ПЗ перевірено за допомогою визначених критеріїв;</w:t>
      </w:r>
    </w:p>
    <w:p w:rsidR="00B83859" w:rsidRPr="00B83859" w:rsidRDefault="00B83859" w:rsidP="00B83859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B83859">
        <w:rPr>
          <w:rFonts w:cs="Times New Roman"/>
          <w:szCs w:val="28"/>
        </w:rPr>
        <w:t>документально зареєстровані результати тестування інтегрованого ПЗ;</w:t>
      </w:r>
    </w:p>
    <w:p w:rsidR="00B83859" w:rsidRPr="00B83859" w:rsidRDefault="00B83859" w:rsidP="00B83859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B83859">
        <w:rPr>
          <w:rFonts w:cs="Times New Roman"/>
          <w:szCs w:val="28"/>
        </w:rPr>
        <w:t>розроблена і застосована стратегія регресії для повторного тестування інтегрованого ПЗ при зміні елементів ПЗ.</w:t>
      </w:r>
    </w:p>
    <w:p w:rsidR="00B83859" w:rsidRPr="00B83859" w:rsidRDefault="00B83859" w:rsidP="00B83859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B83859">
        <w:rPr>
          <w:rFonts w:ascii="Times New Roman" w:hAnsi="Times New Roman" w:cs="Times New Roman"/>
          <w:sz w:val="28"/>
          <w:szCs w:val="28"/>
          <w:lang w:val="uk-UA"/>
        </w:rPr>
        <w:t>Для кожного елемента ПЗ (або елемента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3859">
        <w:rPr>
          <w:rFonts w:ascii="Times New Roman" w:hAnsi="Times New Roman" w:cs="Times New Roman"/>
          <w:sz w:val="28"/>
          <w:szCs w:val="28"/>
          <w:lang w:val="uk-UA"/>
        </w:rPr>
        <w:t>конфігурації ПЗ, якщо він визначений) процедура тестування придатності ПЗ складається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3859">
        <w:rPr>
          <w:rFonts w:ascii="Times New Roman" w:hAnsi="Times New Roman" w:cs="Times New Roman"/>
          <w:sz w:val="28"/>
          <w:szCs w:val="28"/>
          <w:lang w:val="uk-UA"/>
        </w:rPr>
        <w:t>наступних поетапних завдань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83859" w:rsidRPr="00B83859" w:rsidRDefault="00B83859" w:rsidP="00DF73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3859">
        <w:rPr>
          <w:rFonts w:ascii="Times New Roman" w:hAnsi="Times New Roman" w:cs="Times New Roman"/>
          <w:sz w:val="28"/>
          <w:szCs w:val="28"/>
          <w:lang w:val="uk-UA"/>
        </w:rPr>
        <w:t>Етап 1. Розробник ПЗ повинен провести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3859">
        <w:rPr>
          <w:rFonts w:ascii="Times New Roman" w:hAnsi="Times New Roman" w:cs="Times New Roman"/>
          <w:sz w:val="28"/>
          <w:szCs w:val="28"/>
          <w:lang w:val="uk-UA"/>
        </w:rPr>
        <w:t>кваліфікаційне тестування ПЗ відповідно до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3859">
        <w:rPr>
          <w:rFonts w:ascii="Times New Roman" w:hAnsi="Times New Roman" w:cs="Times New Roman"/>
          <w:sz w:val="28"/>
          <w:szCs w:val="28"/>
          <w:lang w:val="uk-UA"/>
        </w:rPr>
        <w:t>кваліфікаційних вимог до нього. При цьому слід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3859">
        <w:rPr>
          <w:rFonts w:ascii="Times New Roman" w:hAnsi="Times New Roman" w:cs="Times New Roman"/>
          <w:sz w:val="28"/>
          <w:szCs w:val="28"/>
          <w:lang w:val="uk-UA"/>
        </w:rPr>
        <w:t>забезпечити перевірку виконання кожної встановленої вимоги до ПЗ на відповідність і результати цього кваліфікаційного тестування повинні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3859">
        <w:rPr>
          <w:rFonts w:ascii="Times New Roman" w:hAnsi="Times New Roman" w:cs="Times New Roman"/>
          <w:sz w:val="28"/>
          <w:szCs w:val="28"/>
          <w:lang w:val="uk-UA"/>
        </w:rPr>
        <w:t>бути задокументовані.</w:t>
      </w:r>
    </w:p>
    <w:p w:rsidR="00B83859" w:rsidRPr="00B83859" w:rsidRDefault="00B83859" w:rsidP="00B838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3859">
        <w:rPr>
          <w:rFonts w:ascii="Times New Roman" w:hAnsi="Times New Roman" w:cs="Times New Roman"/>
          <w:sz w:val="28"/>
          <w:szCs w:val="28"/>
          <w:lang w:val="uk-UA"/>
        </w:rPr>
        <w:t>Етап 2. Розробник ПЗ повинен оновити документацію користувача ПЗ, якщо це необхідно.</w:t>
      </w:r>
    </w:p>
    <w:p w:rsidR="00B83859" w:rsidRPr="00B83859" w:rsidRDefault="00B83859" w:rsidP="00B838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3859">
        <w:rPr>
          <w:rFonts w:ascii="Times New Roman" w:hAnsi="Times New Roman" w:cs="Times New Roman"/>
          <w:sz w:val="28"/>
          <w:szCs w:val="28"/>
          <w:lang w:val="uk-UA"/>
        </w:rPr>
        <w:t>Етап 3. Розробник ПЗ повинен оцінити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3859">
        <w:rPr>
          <w:rFonts w:ascii="Times New Roman" w:hAnsi="Times New Roman" w:cs="Times New Roman"/>
          <w:sz w:val="28"/>
          <w:szCs w:val="28"/>
          <w:lang w:val="uk-UA"/>
        </w:rPr>
        <w:t>відповідним документуванням дизайн, код, тести, результати тестів і документацію користувача, враховуючи такі критерії:</w:t>
      </w:r>
    </w:p>
    <w:p w:rsidR="00B83859" w:rsidRPr="00B83859" w:rsidRDefault="00B83859" w:rsidP="00B838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3859">
        <w:rPr>
          <w:rFonts w:ascii="Times New Roman" w:hAnsi="Times New Roman" w:cs="Times New Roman"/>
          <w:sz w:val="28"/>
          <w:szCs w:val="28"/>
          <w:lang w:val="uk-UA"/>
        </w:rPr>
        <w:t>випробування щодо охоплення встановлених вимог до ПЗ.</w:t>
      </w:r>
    </w:p>
    <w:p w:rsidR="00B83859" w:rsidRPr="00B83859" w:rsidRDefault="00B83859" w:rsidP="00B83859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B83859">
        <w:rPr>
          <w:rFonts w:cs="Times New Roman"/>
          <w:szCs w:val="28"/>
        </w:rPr>
        <w:t>відповідність очікуваним результатам розроблення ПЗ;</w:t>
      </w:r>
    </w:p>
    <w:p w:rsidR="00B83859" w:rsidRPr="00B83859" w:rsidRDefault="00B83859" w:rsidP="00B83859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B83859">
        <w:rPr>
          <w:rFonts w:cs="Times New Roman"/>
          <w:szCs w:val="28"/>
        </w:rPr>
        <w:t>доцільність інтеграції та тестування ПЗ, якщо вона проводиться;</w:t>
      </w:r>
    </w:p>
    <w:p w:rsidR="00B83859" w:rsidRPr="00B83859" w:rsidRDefault="00B83859" w:rsidP="00B83859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B83859">
        <w:rPr>
          <w:rFonts w:cs="Times New Roman"/>
          <w:szCs w:val="28"/>
        </w:rPr>
        <w:t>можливість експлуатації та обслуговування ПЗ.</w:t>
      </w:r>
    </w:p>
    <w:p w:rsidR="00B83859" w:rsidRPr="00B83859" w:rsidRDefault="00B83859" w:rsidP="00B721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3859">
        <w:rPr>
          <w:rFonts w:ascii="Times New Roman" w:hAnsi="Times New Roman" w:cs="Times New Roman"/>
          <w:sz w:val="28"/>
          <w:szCs w:val="28"/>
          <w:lang w:val="uk-UA"/>
        </w:rPr>
        <w:t>Етап 4. Розробник ПЗ повинен підтримувати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3859">
        <w:rPr>
          <w:rFonts w:ascii="Times New Roman" w:hAnsi="Times New Roman" w:cs="Times New Roman"/>
          <w:sz w:val="28"/>
          <w:szCs w:val="28"/>
          <w:lang w:val="uk-UA"/>
        </w:rPr>
        <w:t>аудит відповідно до встановлених вимог до ПЗ.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3859">
        <w:rPr>
          <w:rFonts w:ascii="Times New Roman" w:hAnsi="Times New Roman" w:cs="Times New Roman"/>
          <w:sz w:val="28"/>
          <w:szCs w:val="28"/>
          <w:lang w:val="uk-UA"/>
        </w:rPr>
        <w:t>Результати цього аудиту повинні бути задокументовані, а сам аудит повинен проводитись до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3859">
        <w:rPr>
          <w:rFonts w:ascii="Times New Roman" w:hAnsi="Times New Roman" w:cs="Times New Roman"/>
          <w:sz w:val="28"/>
          <w:szCs w:val="28"/>
          <w:lang w:val="uk-UA"/>
        </w:rPr>
        <w:t>тестування кваліфікації ПЗ.</w:t>
      </w:r>
    </w:p>
    <w:p w:rsidR="00B83859" w:rsidRPr="00B83859" w:rsidRDefault="00B83859" w:rsidP="00B721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3859">
        <w:rPr>
          <w:rFonts w:ascii="Times New Roman" w:hAnsi="Times New Roman" w:cs="Times New Roman"/>
          <w:sz w:val="28"/>
          <w:szCs w:val="28"/>
          <w:lang w:val="uk-UA"/>
        </w:rPr>
        <w:t>Етап 5. Реалізатор ПЗ після успішного завершення аудиту повинен, перед наданням ПЗ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3859">
        <w:rPr>
          <w:rFonts w:ascii="Times New Roman" w:hAnsi="Times New Roman" w:cs="Times New Roman"/>
          <w:sz w:val="28"/>
          <w:szCs w:val="28"/>
          <w:lang w:val="uk-UA"/>
        </w:rPr>
        <w:t>його замовнику, оновити та підготувати ПЗ для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3859">
        <w:rPr>
          <w:rFonts w:ascii="Times New Roman" w:hAnsi="Times New Roman" w:cs="Times New Roman"/>
          <w:sz w:val="28"/>
          <w:szCs w:val="28"/>
          <w:lang w:val="uk-UA"/>
        </w:rPr>
        <w:t>інтеграції системи, тестування придатності ПЗ,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3859">
        <w:rPr>
          <w:rFonts w:ascii="Times New Roman" w:hAnsi="Times New Roman" w:cs="Times New Roman"/>
          <w:sz w:val="28"/>
          <w:szCs w:val="28"/>
          <w:lang w:val="uk-UA"/>
        </w:rPr>
        <w:t>встановлення ПЗ або підтримки прийняття ПЗ.</w:t>
      </w:r>
    </w:p>
    <w:p w:rsidR="004819C1" w:rsidRPr="00B83859" w:rsidRDefault="00B83859" w:rsidP="00B7219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3859">
        <w:rPr>
          <w:rFonts w:ascii="Times New Roman" w:hAnsi="Times New Roman" w:cs="Times New Roman"/>
          <w:sz w:val="28"/>
          <w:szCs w:val="28"/>
          <w:lang w:val="uk-UA"/>
        </w:rPr>
        <w:t>Процес тестування придатності ПЗ може бути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3859">
        <w:rPr>
          <w:rFonts w:ascii="Times New Roman" w:hAnsi="Times New Roman" w:cs="Times New Roman"/>
          <w:sz w:val="28"/>
          <w:szCs w:val="28"/>
          <w:lang w:val="uk-UA"/>
        </w:rPr>
        <w:t>застосований під час верифікації або валідації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3859">
        <w:rPr>
          <w:rFonts w:ascii="Times New Roman" w:hAnsi="Times New Roman" w:cs="Times New Roman"/>
          <w:sz w:val="28"/>
          <w:szCs w:val="28"/>
          <w:lang w:val="uk-UA"/>
        </w:rPr>
        <w:t>ПЗ.</w:t>
      </w:r>
    </w:p>
    <w:p w:rsidR="00B83859" w:rsidRPr="00B83859" w:rsidRDefault="00B83859" w:rsidP="00B7219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3859">
        <w:rPr>
          <w:rFonts w:ascii="Times New Roman" w:hAnsi="Times New Roman" w:cs="Times New Roman"/>
          <w:sz w:val="28"/>
          <w:szCs w:val="28"/>
          <w:lang w:val="uk-UA"/>
        </w:rPr>
        <w:t>Одним із важливих елементів життєвого циклу ПЗ є його супровід – сукупність дій із забезпечення роботи, внесення змін при виявленні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3859">
        <w:rPr>
          <w:rFonts w:ascii="Times New Roman" w:hAnsi="Times New Roman" w:cs="Times New Roman"/>
          <w:sz w:val="28"/>
          <w:szCs w:val="28"/>
          <w:lang w:val="uk-UA"/>
        </w:rPr>
        <w:t>помилок, адаптації ПЗ до нового середовища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3859">
        <w:rPr>
          <w:rFonts w:ascii="Times New Roman" w:hAnsi="Times New Roman" w:cs="Times New Roman"/>
          <w:sz w:val="28"/>
          <w:szCs w:val="28"/>
          <w:lang w:val="uk-UA"/>
        </w:rPr>
        <w:t>функціонування, а також підвищення продуктивності або поліпшення деяких характеристик ПЗ.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3859">
        <w:rPr>
          <w:rFonts w:ascii="Times New Roman" w:hAnsi="Times New Roman" w:cs="Times New Roman"/>
          <w:sz w:val="28"/>
          <w:szCs w:val="28"/>
          <w:lang w:val="uk-UA"/>
        </w:rPr>
        <w:t>Супровід життєвого циклу ПЗ проводиться відповідно до положень стандартів ISO/IEC/IEEE</w:t>
      </w:r>
    </w:p>
    <w:p w:rsidR="004819C1" w:rsidRPr="00B83859" w:rsidRDefault="00B83859" w:rsidP="00B721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3859">
        <w:rPr>
          <w:rFonts w:ascii="Times New Roman" w:hAnsi="Times New Roman" w:cs="Times New Roman"/>
          <w:sz w:val="28"/>
          <w:szCs w:val="28"/>
          <w:lang w:val="uk-UA"/>
        </w:rPr>
        <w:t>12207 і ISO/IEC 14764 [4] з метою виконання</w:t>
      </w:r>
      <w:r w:rsidR="00B721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3859">
        <w:rPr>
          <w:rFonts w:ascii="Times New Roman" w:hAnsi="Times New Roman" w:cs="Times New Roman"/>
          <w:sz w:val="28"/>
          <w:szCs w:val="28"/>
          <w:lang w:val="uk-UA"/>
        </w:rPr>
        <w:t>і модифікації ПЗ в процесі експлуатації за умови</w:t>
      </w:r>
      <w:r w:rsidR="00B721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3859">
        <w:rPr>
          <w:rFonts w:ascii="Times New Roman" w:hAnsi="Times New Roman" w:cs="Times New Roman"/>
          <w:sz w:val="28"/>
          <w:szCs w:val="28"/>
          <w:lang w:val="uk-UA"/>
        </w:rPr>
        <w:t xml:space="preserve">збереження його цілісності </w:t>
      </w:r>
    </w:p>
    <w:p w:rsidR="004819C1" w:rsidRPr="00B7219B" w:rsidRDefault="004819C1" w:rsidP="004819C1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219B">
        <w:rPr>
          <w:rFonts w:ascii="Times New Roman" w:hAnsi="Times New Roman" w:cs="Times New Roman"/>
          <w:sz w:val="28"/>
          <w:szCs w:val="28"/>
          <w:lang w:val="uk-UA"/>
        </w:rPr>
        <w:t>За матеріалами</w:t>
      </w:r>
    </w:p>
    <w:p w:rsidR="004819C1" w:rsidRPr="004819C1" w:rsidRDefault="004819C1" w:rsidP="004819C1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819C1">
        <w:rPr>
          <w:rFonts w:ascii="Times New Roman" w:hAnsi="Times New Roman" w:cs="Times New Roman"/>
          <w:sz w:val="28"/>
          <w:szCs w:val="28"/>
          <w:lang w:val="ru-RU"/>
        </w:rPr>
        <w:t>https</w:t>
      </w:r>
      <w:r w:rsidRPr="004819C1">
        <w:rPr>
          <w:rFonts w:ascii="Times New Roman" w:hAnsi="Times New Roman" w:cs="Times New Roman"/>
          <w:sz w:val="28"/>
          <w:szCs w:val="28"/>
          <w:lang w:val="uk-UA"/>
        </w:rPr>
        <w:t>://</w:t>
      </w:r>
      <w:r w:rsidRPr="004819C1">
        <w:rPr>
          <w:rFonts w:ascii="Times New Roman" w:hAnsi="Times New Roman" w:cs="Times New Roman"/>
          <w:sz w:val="28"/>
          <w:szCs w:val="28"/>
          <w:lang w:val="ru-RU"/>
        </w:rPr>
        <w:t>www</w:t>
      </w:r>
      <w:r w:rsidRPr="004819C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4819C1">
        <w:rPr>
          <w:rFonts w:ascii="Times New Roman" w:hAnsi="Times New Roman" w:cs="Times New Roman"/>
          <w:sz w:val="28"/>
          <w:szCs w:val="28"/>
          <w:lang w:val="ru-RU"/>
        </w:rPr>
        <w:t>google</w:t>
      </w:r>
      <w:r w:rsidRPr="004819C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4819C1">
        <w:rPr>
          <w:rFonts w:ascii="Times New Roman" w:hAnsi="Times New Roman" w:cs="Times New Roman"/>
          <w:sz w:val="28"/>
          <w:szCs w:val="28"/>
          <w:lang w:val="ru-RU"/>
        </w:rPr>
        <w:t>com</w:t>
      </w:r>
      <w:r w:rsidRPr="004819C1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4819C1">
        <w:rPr>
          <w:rFonts w:ascii="Times New Roman" w:hAnsi="Times New Roman" w:cs="Times New Roman"/>
          <w:sz w:val="28"/>
          <w:szCs w:val="28"/>
          <w:lang w:val="ru-RU"/>
        </w:rPr>
        <w:t>url</w:t>
      </w:r>
      <w:r w:rsidRPr="004819C1">
        <w:rPr>
          <w:rFonts w:ascii="Times New Roman" w:hAnsi="Times New Roman" w:cs="Times New Roman"/>
          <w:sz w:val="28"/>
          <w:szCs w:val="28"/>
          <w:lang w:val="uk-UA"/>
        </w:rPr>
        <w:t>?</w:t>
      </w:r>
      <w:r w:rsidRPr="004819C1">
        <w:rPr>
          <w:rFonts w:ascii="Times New Roman" w:hAnsi="Times New Roman" w:cs="Times New Roman"/>
          <w:sz w:val="28"/>
          <w:szCs w:val="28"/>
          <w:lang w:val="ru-RU"/>
        </w:rPr>
        <w:t>sa</w:t>
      </w:r>
      <w:r w:rsidRPr="004819C1">
        <w:rPr>
          <w:rFonts w:ascii="Times New Roman" w:hAnsi="Times New Roman" w:cs="Times New Roman"/>
          <w:sz w:val="28"/>
          <w:szCs w:val="28"/>
          <w:lang w:val="uk-UA"/>
        </w:rPr>
        <w:t>=</w:t>
      </w:r>
      <w:r w:rsidRPr="004819C1">
        <w:rPr>
          <w:rFonts w:ascii="Times New Roman" w:hAnsi="Times New Roman" w:cs="Times New Roman"/>
          <w:sz w:val="28"/>
          <w:szCs w:val="28"/>
          <w:lang w:val="ru-RU"/>
        </w:rPr>
        <w:t>t</w:t>
      </w:r>
      <w:r w:rsidRPr="004819C1">
        <w:rPr>
          <w:rFonts w:ascii="Times New Roman" w:hAnsi="Times New Roman" w:cs="Times New Roman"/>
          <w:sz w:val="28"/>
          <w:szCs w:val="28"/>
          <w:lang w:val="uk-UA"/>
        </w:rPr>
        <w:t>&amp;</w:t>
      </w:r>
      <w:r w:rsidRPr="004819C1">
        <w:rPr>
          <w:rFonts w:ascii="Times New Roman" w:hAnsi="Times New Roman" w:cs="Times New Roman"/>
          <w:sz w:val="28"/>
          <w:szCs w:val="28"/>
          <w:lang w:val="ru-RU"/>
        </w:rPr>
        <w:t>rct</w:t>
      </w:r>
      <w:r w:rsidRPr="004819C1">
        <w:rPr>
          <w:rFonts w:ascii="Times New Roman" w:hAnsi="Times New Roman" w:cs="Times New Roman"/>
          <w:sz w:val="28"/>
          <w:szCs w:val="28"/>
          <w:lang w:val="uk-UA"/>
        </w:rPr>
        <w:t>=</w:t>
      </w:r>
      <w:r w:rsidRPr="004819C1">
        <w:rPr>
          <w:rFonts w:ascii="Times New Roman" w:hAnsi="Times New Roman" w:cs="Times New Roman"/>
          <w:sz w:val="28"/>
          <w:szCs w:val="28"/>
          <w:lang w:val="ru-RU"/>
        </w:rPr>
        <w:t>j</w:t>
      </w:r>
      <w:r w:rsidRPr="004819C1">
        <w:rPr>
          <w:rFonts w:ascii="Times New Roman" w:hAnsi="Times New Roman" w:cs="Times New Roman"/>
          <w:sz w:val="28"/>
          <w:szCs w:val="28"/>
          <w:lang w:val="uk-UA"/>
        </w:rPr>
        <w:t>&amp;</w:t>
      </w:r>
      <w:r w:rsidRPr="004819C1">
        <w:rPr>
          <w:rFonts w:ascii="Times New Roman" w:hAnsi="Times New Roman" w:cs="Times New Roman"/>
          <w:sz w:val="28"/>
          <w:szCs w:val="28"/>
          <w:lang w:val="ru-RU"/>
        </w:rPr>
        <w:t>q</w:t>
      </w:r>
      <w:r w:rsidRPr="004819C1">
        <w:rPr>
          <w:rFonts w:ascii="Times New Roman" w:hAnsi="Times New Roman" w:cs="Times New Roman"/>
          <w:sz w:val="28"/>
          <w:szCs w:val="28"/>
          <w:lang w:val="uk-UA"/>
        </w:rPr>
        <w:t>=&amp;</w:t>
      </w:r>
      <w:r w:rsidRPr="004819C1">
        <w:rPr>
          <w:rFonts w:ascii="Times New Roman" w:hAnsi="Times New Roman" w:cs="Times New Roman"/>
          <w:sz w:val="28"/>
          <w:szCs w:val="28"/>
          <w:lang w:val="ru-RU"/>
        </w:rPr>
        <w:t>esrc</w:t>
      </w:r>
      <w:r w:rsidRPr="004819C1">
        <w:rPr>
          <w:rFonts w:ascii="Times New Roman" w:hAnsi="Times New Roman" w:cs="Times New Roman"/>
          <w:sz w:val="28"/>
          <w:szCs w:val="28"/>
          <w:lang w:val="uk-UA"/>
        </w:rPr>
        <w:t>=</w:t>
      </w:r>
      <w:r w:rsidRPr="004819C1">
        <w:rPr>
          <w:rFonts w:ascii="Times New Roman" w:hAnsi="Times New Roman" w:cs="Times New Roman"/>
          <w:sz w:val="28"/>
          <w:szCs w:val="28"/>
          <w:lang w:val="ru-RU"/>
        </w:rPr>
        <w:t>s</w:t>
      </w:r>
      <w:r w:rsidRPr="004819C1">
        <w:rPr>
          <w:rFonts w:ascii="Times New Roman" w:hAnsi="Times New Roman" w:cs="Times New Roman"/>
          <w:sz w:val="28"/>
          <w:szCs w:val="28"/>
          <w:lang w:val="uk-UA"/>
        </w:rPr>
        <w:t>&amp;</w:t>
      </w:r>
      <w:r w:rsidRPr="004819C1">
        <w:rPr>
          <w:rFonts w:ascii="Times New Roman" w:hAnsi="Times New Roman" w:cs="Times New Roman"/>
          <w:sz w:val="28"/>
          <w:szCs w:val="28"/>
          <w:lang w:val="ru-RU"/>
        </w:rPr>
        <w:t>source</w:t>
      </w:r>
      <w:r w:rsidRPr="004819C1">
        <w:rPr>
          <w:rFonts w:ascii="Times New Roman" w:hAnsi="Times New Roman" w:cs="Times New Roman"/>
          <w:sz w:val="28"/>
          <w:szCs w:val="28"/>
          <w:lang w:val="uk-UA"/>
        </w:rPr>
        <w:t>=</w:t>
      </w:r>
      <w:r w:rsidRPr="004819C1">
        <w:rPr>
          <w:rFonts w:ascii="Times New Roman" w:hAnsi="Times New Roman" w:cs="Times New Roman"/>
          <w:sz w:val="28"/>
          <w:szCs w:val="28"/>
          <w:lang w:val="ru-RU"/>
        </w:rPr>
        <w:t>web</w:t>
      </w:r>
      <w:r w:rsidRPr="004819C1">
        <w:rPr>
          <w:rFonts w:ascii="Times New Roman" w:hAnsi="Times New Roman" w:cs="Times New Roman"/>
          <w:sz w:val="28"/>
          <w:szCs w:val="28"/>
          <w:lang w:val="uk-UA"/>
        </w:rPr>
        <w:t>&amp;</w:t>
      </w:r>
      <w:r w:rsidRPr="004819C1">
        <w:rPr>
          <w:rFonts w:ascii="Times New Roman" w:hAnsi="Times New Roman" w:cs="Times New Roman"/>
          <w:sz w:val="28"/>
          <w:szCs w:val="28"/>
          <w:lang w:val="ru-RU"/>
        </w:rPr>
        <w:t>cd</w:t>
      </w:r>
      <w:r w:rsidRPr="004819C1">
        <w:rPr>
          <w:rFonts w:ascii="Times New Roman" w:hAnsi="Times New Roman" w:cs="Times New Roman"/>
          <w:sz w:val="28"/>
          <w:szCs w:val="28"/>
          <w:lang w:val="uk-UA"/>
        </w:rPr>
        <w:t>=&amp;</w:t>
      </w:r>
      <w:r w:rsidRPr="004819C1">
        <w:rPr>
          <w:rFonts w:ascii="Times New Roman" w:hAnsi="Times New Roman" w:cs="Times New Roman"/>
          <w:sz w:val="28"/>
          <w:szCs w:val="28"/>
          <w:lang w:val="ru-RU"/>
        </w:rPr>
        <w:t>cad</w:t>
      </w:r>
      <w:r w:rsidRPr="004819C1">
        <w:rPr>
          <w:rFonts w:ascii="Times New Roman" w:hAnsi="Times New Roman" w:cs="Times New Roman"/>
          <w:sz w:val="28"/>
          <w:szCs w:val="28"/>
          <w:lang w:val="uk-UA"/>
        </w:rPr>
        <w:t>=</w:t>
      </w:r>
      <w:r w:rsidRPr="004819C1">
        <w:rPr>
          <w:rFonts w:ascii="Times New Roman" w:hAnsi="Times New Roman" w:cs="Times New Roman"/>
          <w:sz w:val="28"/>
          <w:szCs w:val="28"/>
          <w:lang w:val="ru-RU"/>
        </w:rPr>
        <w:t>rja</w:t>
      </w:r>
      <w:r w:rsidRPr="004819C1">
        <w:rPr>
          <w:rFonts w:ascii="Times New Roman" w:hAnsi="Times New Roman" w:cs="Times New Roman"/>
          <w:sz w:val="28"/>
          <w:szCs w:val="28"/>
          <w:lang w:val="uk-UA"/>
        </w:rPr>
        <w:t>&amp;</w:t>
      </w:r>
      <w:r w:rsidRPr="004819C1">
        <w:rPr>
          <w:rFonts w:ascii="Times New Roman" w:hAnsi="Times New Roman" w:cs="Times New Roman"/>
          <w:sz w:val="28"/>
          <w:szCs w:val="28"/>
          <w:lang w:val="ru-RU"/>
        </w:rPr>
        <w:t>uact</w:t>
      </w:r>
      <w:r w:rsidRPr="004819C1">
        <w:rPr>
          <w:rFonts w:ascii="Times New Roman" w:hAnsi="Times New Roman" w:cs="Times New Roman"/>
          <w:sz w:val="28"/>
          <w:szCs w:val="28"/>
          <w:lang w:val="uk-UA"/>
        </w:rPr>
        <w:t>=8&amp;</w:t>
      </w:r>
      <w:r w:rsidRPr="004819C1">
        <w:rPr>
          <w:rFonts w:ascii="Times New Roman" w:hAnsi="Times New Roman" w:cs="Times New Roman"/>
          <w:sz w:val="28"/>
          <w:szCs w:val="28"/>
          <w:lang w:val="ru-RU"/>
        </w:rPr>
        <w:t>ved</w:t>
      </w:r>
      <w:r w:rsidRPr="004819C1">
        <w:rPr>
          <w:rFonts w:ascii="Times New Roman" w:hAnsi="Times New Roman" w:cs="Times New Roman"/>
          <w:sz w:val="28"/>
          <w:szCs w:val="28"/>
          <w:lang w:val="uk-UA"/>
        </w:rPr>
        <w:t>=2</w:t>
      </w:r>
      <w:r w:rsidRPr="004819C1">
        <w:rPr>
          <w:rFonts w:ascii="Times New Roman" w:hAnsi="Times New Roman" w:cs="Times New Roman"/>
          <w:sz w:val="28"/>
          <w:szCs w:val="28"/>
          <w:lang w:val="ru-RU"/>
        </w:rPr>
        <w:t>ahUKEwjtgp</w:t>
      </w:r>
      <w:r w:rsidRPr="004819C1">
        <w:rPr>
          <w:rFonts w:ascii="Times New Roman" w:hAnsi="Times New Roman" w:cs="Times New Roman"/>
          <w:sz w:val="28"/>
          <w:szCs w:val="28"/>
          <w:lang w:val="uk-UA"/>
        </w:rPr>
        <w:t>7389</w:t>
      </w:r>
      <w:r w:rsidRPr="004819C1">
        <w:rPr>
          <w:rFonts w:ascii="Times New Roman" w:hAnsi="Times New Roman" w:cs="Times New Roman"/>
          <w:sz w:val="28"/>
          <w:szCs w:val="28"/>
          <w:lang w:val="ru-RU"/>
        </w:rPr>
        <w:t>vzAhVtgP</w:t>
      </w:r>
      <w:r w:rsidRPr="004819C1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4819C1">
        <w:rPr>
          <w:rFonts w:ascii="Times New Roman" w:hAnsi="Times New Roman" w:cs="Times New Roman"/>
          <w:sz w:val="28"/>
          <w:szCs w:val="28"/>
          <w:lang w:val="ru-RU"/>
        </w:rPr>
        <w:t>HHU</w:t>
      </w:r>
      <w:r w:rsidRPr="004819C1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4819C1">
        <w:rPr>
          <w:rFonts w:ascii="Times New Roman" w:hAnsi="Times New Roman" w:cs="Times New Roman"/>
          <w:sz w:val="28"/>
          <w:szCs w:val="28"/>
          <w:lang w:val="ru-RU"/>
        </w:rPr>
        <w:t>iCJAQFnoFCIkCEAE</w:t>
      </w:r>
      <w:r w:rsidRPr="004819C1">
        <w:rPr>
          <w:rFonts w:ascii="Times New Roman" w:hAnsi="Times New Roman" w:cs="Times New Roman"/>
          <w:sz w:val="28"/>
          <w:szCs w:val="28"/>
          <w:lang w:val="uk-UA"/>
        </w:rPr>
        <w:t>&amp;</w:t>
      </w:r>
      <w:r w:rsidRPr="004819C1">
        <w:rPr>
          <w:rFonts w:ascii="Times New Roman" w:hAnsi="Times New Roman" w:cs="Times New Roman"/>
          <w:sz w:val="28"/>
          <w:szCs w:val="28"/>
          <w:lang w:val="ru-RU"/>
        </w:rPr>
        <w:t>url</w:t>
      </w:r>
      <w:r w:rsidRPr="004819C1">
        <w:rPr>
          <w:rFonts w:ascii="Times New Roman" w:hAnsi="Times New Roman" w:cs="Times New Roman"/>
          <w:sz w:val="28"/>
          <w:szCs w:val="28"/>
          <w:lang w:val="uk-UA"/>
        </w:rPr>
        <w:t>=</w:t>
      </w:r>
      <w:r w:rsidRPr="004819C1">
        <w:rPr>
          <w:rFonts w:ascii="Times New Roman" w:hAnsi="Times New Roman" w:cs="Times New Roman"/>
          <w:sz w:val="28"/>
          <w:szCs w:val="28"/>
          <w:lang w:val="ru-RU"/>
        </w:rPr>
        <w:t>https</w:t>
      </w:r>
      <w:r w:rsidRPr="004819C1">
        <w:rPr>
          <w:rFonts w:ascii="Times New Roman" w:hAnsi="Times New Roman" w:cs="Times New Roman"/>
          <w:sz w:val="28"/>
          <w:szCs w:val="28"/>
          <w:lang w:val="uk-UA"/>
        </w:rPr>
        <w:t>%3</w:t>
      </w:r>
      <w:r w:rsidRPr="004819C1">
        <w:rPr>
          <w:rFonts w:ascii="Times New Roman" w:hAnsi="Times New Roman" w:cs="Times New Roman"/>
          <w:sz w:val="28"/>
          <w:szCs w:val="28"/>
          <w:lang w:val="ru-RU"/>
        </w:rPr>
        <w:t>A</w:t>
      </w:r>
      <w:r w:rsidRPr="004819C1">
        <w:rPr>
          <w:rFonts w:ascii="Times New Roman" w:hAnsi="Times New Roman" w:cs="Times New Roman"/>
          <w:sz w:val="28"/>
          <w:szCs w:val="28"/>
          <w:lang w:val="uk-UA"/>
        </w:rPr>
        <w:t>%2</w:t>
      </w:r>
      <w:r w:rsidRPr="004819C1">
        <w:rPr>
          <w:rFonts w:ascii="Times New Roman" w:hAnsi="Times New Roman" w:cs="Times New Roman"/>
          <w:sz w:val="28"/>
          <w:szCs w:val="28"/>
          <w:lang w:val="ru-RU"/>
        </w:rPr>
        <w:t>F</w:t>
      </w:r>
      <w:r w:rsidRPr="004819C1">
        <w:rPr>
          <w:rFonts w:ascii="Times New Roman" w:hAnsi="Times New Roman" w:cs="Times New Roman"/>
          <w:sz w:val="28"/>
          <w:szCs w:val="28"/>
          <w:lang w:val="uk-UA"/>
        </w:rPr>
        <w:t>%2</w:t>
      </w:r>
      <w:r w:rsidRPr="004819C1">
        <w:rPr>
          <w:rFonts w:ascii="Times New Roman" w:hAnsi="Times New Roman" w:cs="Times New Roman"/>
          <w:sz w:val="28"/>
          <w:szCs w:val="28"/>
          <w:lang w:val="ru-RU"/>
        </w:rPr>
        <w:t>Fodatrya</w:t>
      </w:r>
      <w:r w:rsidRPr="004819C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4819C1">
        <w:rPr>
          <w:rFonts w:ascii="Times New Roman" w:hAnsi="Times New Roman" w:cs="Times New Roman"/>
          <w:sz w:val="28"/>
          <w:szCs w:val="28"/>
          <w:lang w:val="ru-RU"/>
        </w:rPr>
        <w:t>org</w:t>
      </w:r>
      <w:r w:rsidRPr="004819C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4819C1">
        <w:rPr>
          <w:rFonts w:ascii="Times New Roman" w:hAnsi="Times New Roman" w:cs="Times New Roman"/>
          <w:sz w:val="28"/>
          <w:szCs w:val="28"/>
          <w:lang w:val="ru-RU"/>
        </w:rPr>
        <w:t>ua</w:t>
      </w:r>
      <w:r w:rsidRPr="004819C1">
        <w:rPr>
          <w:rFonts w:ascii="Times New Roman" w:hAnsi="Times New Roman" w:cs="Times New Roman"/>
          <w:sz w:val="28"/>
          <w:szCs w:val="28"/>
          <w:lang w:val="uk-UA"/>
        </w:rPr>
        <w:t>%2</w:t>
      </w:r>
      <w:r w:rsidRPr="004819C1">
        <w:rPr>
          <w:rFonts w:ascii="Times New Roman" w:hAnsi="Times New Roman" w:cs="Times New Roman"/>
          <w:sz w:val="28"/>
          <w:szCs w:val="28"/>
          <w:lang w:val="ru-RU"/>
        </w:rPr>
        <w:t>Findex</w:t>
      </w:r>
      <w:r w:rsidRPr="004819C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4819C1">
        <w:rPr>
          <w:rFonts w:ascii="Times New Roman" w:hAnsi="Times New Roman" w:cs="Times New Roman"/>
          <w:sz w:val="28"/>
          <w:szCs w:val="28"/>
          <w:lang w:val="ru-RU"/>
        </w:rPr>
        <w:t>php</w:t>
      </w:r>
      <w:r w:rsidRPr="004819C1">
        <w:rPr>
          <w:rFonts w:ascii="Times New Roman" w:hAnsi="Times New Roman" w:cs="Times New Roman"/>
          <w:sz w:val="28"/>
          <w:szCs w:val="28"/>
          <w:lang w:val="uk-UA"/>
        </w:rPr>
        <w:t>%2</w:t>
      </w:r>
      <w:r w:rsidRPr="004819C1">
        <w:rPr>
          <w:rFonts w:ascii="Times New Roman" w:hAnsi="Times New Roman" w:cs="Times New Roman"/>
          <w:sz w:val="28"/>
          <w:szCs w:val="28"/>
          <w:lang w:val="ru-RU"/>
        </w:rPr>
        <w:t>Fosatrq</w:t>
      </w:r>
      <w:r w:rsidRPr="004819C1">
        <w:rPr>
          <w:rFonts w:ascii="Times New Roman" w:hAnsi="Times New Roman" w:cs="Times New Roman"/>
          <w:sz w:val="28"/>
          <w:szCs w:val="28"/>
          <w:lang w:val="uk-UA"/>
        </w:rPr>
        <w:t>%2</w:t>
      </w:r>
      <w:r w:rsidRPr="004819C1">
        <w:rPr>
          <w:rFonts w:ascii="Times New Roman" w:hAnsi="Times New Roman" w:cs="Times New Roman"/>
          <w:sz w:val="28"/>
          <w:szCs w:val="28"/>
          <w:lang w:val="ru-RU"/>
        </w:rPr>
        <w:t>Farticle</w:t>
      </w:r>
      <w:r w:rsidRPr="004819C1">
        <w:rPr>
          <w:rFonts w:ascii="Times New Roman" w:hAnsi="Times New Roman" w:cs="Times New Roman"/>
          <w:sz w:val="28"/>
          <w:szCs w:val="28"/>
          <w:lang w:val="uk-UA"/>
        </w:rPr>
        <w:t>%2</w:t>
      </w:r>
      <w:r w:rsidRPr="004819C1">
        <w:rPr>
          <w:rFonts w:ascii="Times New Roman" w:hAnsi="Times New Roman" w:cs="Times New Roman"/>
          <w:sz w:val="28"/>
          <w:szCs w:val="28"/>
          <w:lang w:val="ru-RU"/>
        </w:rPr>
        <w:t>Fview</w:t>
      </w:r>
      <w:r w:rsidRPr="004819C1">
        <w:rPr>
          <w:rFonts w:ascii="Times New Roman" w:hAnsi="Times New Roman" w:cs="Times New Roman"/>
          <w:sz w:val="28"/>
          <w:szCs w:val="28"/>
          <w:lang w:val="uk-UA"/>
        </w:rPr>
        <w:t>%2</w:t>
      </w:r>
      <w:r w:rsidRPr="004819C1">
        <w:rPr>
          <w:rFonts w:ascii="Times New Roman" w:hAnsi="Times New Roman" w:cs="Times New Roman"/>
          <w:sz w:val="28"/>
          <w:szCs w:val="28"/>
          <w:lang w:val="ru-RU"/>
        </w:rPr>
        <w:t>F</w:t>
      </w:r>
      <w:r w:rsidRPr="004819C1">
        <w:rPr>
          <w:rFonts w:ascii="Times New Roman" w:hAnsi="Times New Roman" w:cs="Times New Roman"/>
          <w:sz w:val="28"/>
          <w:szCs w:val="28"/>
          <w:lang w:val="uk-UA"/>
        </w:rPr>
        <w:t>249&amp;</w:t>
      </w:r>
      <w:r w:rsidRPr="004819C1">
        <w:rPr>
          <w:rFonts w:ascii="Times New Roman" w:hAnsi="Times New Roman" w:cs="Times New Roman"/>
          <w:sz w:val="28"/>
          <w:szCs w:val="28"/>
          <w:lang w:val="ru-RU"/>
        </w:rPr>
        <w:t>usg</w:t>
      </w:r>
      <w:r w:rsidRPr="004819C1">
        <w:rPr>
          <w:rFonts w:ascii="Times New Roman" w:hAnsi="Times New Roman" w:cs="Times New Roman"/>
          <w:sz w:val="28"/>
          <w:szCs w:val="28"/>
          <w:lang w:val="uk-UA"/>
        </w:rPr>
        <w:t>=</w:t>
      </w:r>
      <w:r w:rsidRPr="004819C1">
        <w:rPr>
          <w:rFonts w:ascii="Times New Roman" w:hAnsi="Times New Roman" w:cs="Times New Roman"/>
          <w:sz w:val="28"/>
          <w:szCs w:val="28"/>
          <w:lang w:val="ru-RU"/>
        </w:rPr>
        <w:t>AOvVaw</w:t>
      </w:r>
      <w:r w:rsidRPr="004819C1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4819C1">
        <w:rPr>
          <w:rFonts w:ascii="Times New Roman" w:hAnsi="Times New Roman" w:cs="Times New Roman"/>
          <w:sz w:val="28"/>
          <w:szCs w:val="28"/>
          <w:lang w:val="ru-RU"/>
        </w:rPr>
        <w:t>flhuJm</w:t>
      </w:r>
      <w:r w:rsidRPr="004819C1"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4819C1">
        <w:rPr>
          <w:rFonts w:ascii="Times New Roman" w:hAnsi="Times New Roman" w:cs="Times New Roman"/>
          <w:sz w:val="28"/>
          <w:szCs w:val="28"/>
          <w:lang w:val="ru-RU"/>
        </w:rPr>
        <w:t>zIBh</w:t>
      </w:r>
      <w:r w:rsidRPr="004819C1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4819C1">
        <w:rPr>
          <w:rFonts w:ascii="Times New Roman" w:hAnsi="Times New Roman" w:cs="Times New Roman"/>
          <w:sz w:val="28"/>
          <w:szCs w:val="28"/>
          <w:lang w:val="ru-RU"/>
        </w:rPr>
        <w:t>NwQwQ</w:t>
      </w:r>
      <w:r w:rsidRPr="004819C1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4819C1">
        <w:rPr>
          <w:rFonts w:ascii="Times New Roman" w:hAnsi="Times New Roman" w:cs="Times New Roman"/>
          <w:sz w:val="28"/>
          <w:szCs w:val="28"/>
          <w:lang w:val="ru-RU"/>
        </w:rPr>
        <w:t>GVo</w:t>
      </w:r>
    </w:p>
    <w:sectPr w:rsidR="004819C1" w:rsidRPr="004819C1" w:rsidSect="006024E1">
      <w:pgSz w:w="12240" w:h="15840"/>
      <w:pgMar w:top="567" w:right="567" w:bottom="567" w:left="1701" w:header="142" w:footer="4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68C8" w:rsidRDefault="00B168C8" w:rsidP="006024E1">
      <w:pPr>
        <w:spacing w:after="0" w:line="240" w:lineRule="auto"/>
      </w:pPr>
      <w:r>
        <w:separator/>
      </w:r>
    </w:p>
  </w:endnote>
  <w:endnote w:type="continuationSeparator" w:id="0">
    <w:p w:rsidR="00B168C8" w:rsidRDefault="00B168C8" w:rsidP="00602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IDFont+F1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35486"/>
      <w:docPartObj>
        <w:docPartGallery w:val="Page Numbers (Bottom of Page)"/>
        <w:docPartUnique/>
      </w:docPartObj>
    </w:sdtPr>
    <w:sdtContent>
      <w:p w:rsidR="00B83859" w:rsidRDefault="007552C0" w:rsidP="006024E1">
        <w:pPr>
          <w:pStyle w:val="a5"/>
          <w:jc w:val="right"/>
        </w:pPr>
        <w:fldSimple w:instr=" PAGE   \* MERGEFORMAT ">
          <w:r w:rsidR="002804C1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68C8" w:rsidRDefault="00B168C8" w:rsidP="006024E1">
      <w:pPr>
        <w:spacing w:after="0" w:line="240" w:lineRule="auto"/>
      </w:pPr>
      <w:r>
        <w:separator/>
      </w:r>
    </w:p>
  </w:footnote>
  <w:footnote w:type="continuationSeparator" w:id="0">
    <w:p w:rsidR="00B168C8" w:rsidRDefault="00B168C8" w:rsidP="00602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3859" w:rsidRPr="000638EE" w:rsidRDefault="00B83859">
    <w:pPr>
      <w:pStyle w:val="a3"/>
      <w:rPr>
        <w:lang w:val="ru-RU"/>
      </w:rPr>
    </w:pPr>
    <w:r w:rsidRPr="006B3714">
      <w:rPr>
        <w:rFonts w:ascii="Times New Roman" w:eastAsia="Times New Roman" w:hAnsi="Times New Roman" w:cs="Times New Roman"/>
        <w:sz w:val="24"/>
        <w:szCs w:val="24"/>
        <w:lang w:val="uk-UA" w:eastAsia="ru-RU"/>
      </w:rPr>
      <w:t>Конструювання програмного заб</w:t>
    </w:r>
    <w:r>
      <w:rPr>
        <w:rFonts w:ascii="Times New Roman" w:eastAsia="Times New Roman" w:hAnsi="Times New Roman" w:cs="Times New Roman"/>
        <w:sz w:val="24"/>
        <w:szCs w:val="24"/>
        <w:lang w:val="uk-UA" w:eastAsia="ru-RU"/>
      </w:rPr>
      <w:t>езпечення. Лабораторна робота №</w:t>
    </w:r>
    <w:r>
      <w:rPr>
        <w:rFonts w:ascii="Times New Roman" w:eastAsia="Times New Roman" w:hAnsi="Times New Roman" w:cs="Times New Roman"/>
        <w:sz w:val="24"/>
        <w:szCs w:val="24"/>
        <w:lang w:val="ru-RU" w:eastAsia="ru-RU"/>
      </w:rPr>
      <w:t>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30D83"/>
    <w:multiLevelType w:val="hybridMultilevel"/>
    <w:tmpl w:val="036EE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10FD4"/>
    <w:multiLevelType w:val="hybridMultilevel"/>
    <w:tmpl w:val="639815E0"/>
    <w:lvl w:ilvl="0" w:tplc="A24600C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2E1141"/>
    <w:multiLevelType w:val="hybridMultilevel"/>
    <w:tmpl w:val="38E04DFE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25CC2ACC"/>
    <w:multiLevelType w:val="multilevel"/>
    <w:tmpl w:val="0AE2D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63464C"/>
    <w:multiLevelType w:val="hybridMultilevel"/>
    <w:tmpl w:val="A95A7EAA"/>
    <w:lvl w:ilvl="0" w:tplc="50D0A8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8892FBA"/>
    <w:multiLevelType w:val="hybridMultilevel"/>
    <w:tmpl w:val="639815E0"/>
    <w:lvl w:ilvl="0" w:tplc="A24600C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5346D4"/>
    <w:multiLevelType w:val="hybridMultilevel"/>
    <w:tmpl w:val="CAAA939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02125C"/>
    <w:multiLevelType w:val="hybridMultilevel"/>
    <w:tmpl w:val="18E2E9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24E1"/>
    <w:rsid w:val="000049A6"/>
    <w:rsid w:val="00012785"/>
    <w:rsid w:val="000638EE"/>
    <w:rsid w:val="00071743"/>
    <w:rsid w:val="00096E7C"/>
    <w:rsid w:val="000C4B80"/>
    <w:rsid w:val="001521BF"/>
    <w:rsid w:val="00155C37"/>
    <w:rsid w:val="001D35C0"/>
    <w:rsid w:val="001D4CC7"/>
    <w:rsid w:val="001F6EC4"/>
    <w:rsid w:val="00204CC9"/>
    <w:rsid w:val="002804C1"/>
    <w:rsid w:val="002A33F0"/>
    <w:rsid w:val="00302F43"/>
    <w:rsid w:val="003453E0"/>
    <w:rsid w:val="0035378F"/>
    <w:rsid w:val="00370AAC"/>
    <w:rsid w:val="0039367C"/>
    <w:rsid w:val="003A7F8A"/>
    <w:rsid w:val="004819C1"/>
    <w:rsid w:val="00511106"/>
    <w:rsid w:val="005261E3"/>
    <w:rsid w:val="00581E54"/>
    <w:rsid w:val="006024E1"/>
    <w:rsid w:val="00654CD0"/>
    <w:rsid w:val="006B3245"/>
    <w:rsid w:val="006D0E79"/>
    <w:rsid w:val="006E7DBD"/>
    <w:rsid w:val="006F5BA3"/>
    <w:rsid w:val="007552C0"/>
    <w:rsid w:val="007570A4"/>
    <w:rsid w:val="007C0574"/>
    <w:rsid w:val="007C1BC3"/>
    <w:rsid w:val="007F25EC"/>
    <w:rsid w:val="007F6096"/>
    <w:rsid w:val="0084358B"/>
    <w:rsid w:val="00943303"/>
    <w:rsid w:val="00955DBA"/>
    <w:rsid w:val="009A033C"/>
    <w:rsid w:val="00A55BCC"/>
    <w:rsid w:val="00A73BC6"/>
    <w:rsid w:val="00A9422D"/>
    <w:rsid w:val="00AB08B6"/>
    <w:rsid w:val="00AC35DB"/>
    <w:rsid w:val="00AD6EAC"/>
    <w:rsid w:val="00B1541F"/>
    <w:rsid w:val="00B168C8"/>
    <w:rsid w:val="00B7219B"/>
    <w:rsid w:val="00B83859"/>
    <w:rsid w:val="00B9150E"/>
    <w:rsid w:val="00B94A5C"/>
    <w:rsid w:val="00BA24C7"/>
    <w:rsid w:val="00BB25E8"/>
    <w:rsid w:val="00C87471"/>
    <w:rsid w:val="00DE1FF7"/>
    <w:rsid w:val="00DF32B5"/>
    <w:rsid w:val="00DF7305"/>
    <w:rsid w:val="00E2217B"/>
    <w:rsid w:val="00E2630A"/>
    <w:rsid w:val="00E322B4"/>
    <w:rsid w:val="00E64EE4"/>
    <w:rsid w:val="00EA4A6A"/>
    <w:rsid w:val="00EE006D"/>
    <w:rsid w:val="00F02B38"/>
    <w:rsid w:val="00F82C01"/>
    <w:rsid w:val="00FB554B"/>
    <w:rsid w:val="00FC77AD"/>
    <w:rsid w:val="00FE2EAD"/>
    <w:rsid w:val="00FF1A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5BA3"/>
  </w:style>
  <w:style w:type="paragraph" w:styleId="1">
    <w:name w:val="heading 1"/>
    <w:basedOn w:val="a"/>
    <w:next w:val="a"/>
    <w:link w:val="10"/>
    <w:uiPriority w:val="9"/>
    <w:qFormat/>
    <w:rsid w:val="00C874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74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link w:val="40"/>
    <w:uiPriority w:val="9"/>
    <w:qFormat/>
    <w:rsid w:val="00B154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24E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024E1"/>
  </w:style>
  <w:style w:type="paragraph" w:styleId="a5">
    <w:name w:val="footer"/>
    <w:basedOn w:val="a"/>
    <w:link w:val="a6"/>
    <w:uiPriority w:val="99"/>
    <w:unhideWhenUsed/>
    <w:rsid w:val="006024E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024E1"/>
  </w:style>
  <w:style w:type="paragraph" w:styleId="a7">
    <w:name w:val="Balloon Text"/>
    <w:basedOn w:val="a"/>
    <w:link w:val="a8"/>
    <w:uiPriority w:val="99"/>
    <w:semiHidden/>
    <w:unhideWhenUsed/>
    <w:rsid w:val="006024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024E1"/>
    <w:rPr>
      <w:rFonts w:ascii="Tahoma" w:hAnsi="Tahoma" w:cs="Tahoma"/>
      <w:sz w:val="16"/>
      <w:szCs w:val="16"/>
    </w:rPr>
  </w:style>
  <w:style w:type="character" w:customStyle="1" w:styleId="longtext">
    <w:name w:val="long_text"/>
    <w:basedOn w:val="a0"/>
    <w:rsid w:val="001F6EC4"/>
  </w:style>
  <w:style w:type="paragraph" w:styleId="a9">
    <w:name w:val="List Paragraph"/>
    <w:basedOn w:val="a"/>
    <w:uiPriority w:val="34"/>
    <w:qFormat/>
    <w:rsid w:val="001F6EC4"/>
    <w:pPr>
      <w:spacing w:line="360" w:lineRule="auto"/>
      <w:ind w:left="720"/>
      <w:contextualSpacing/>
    </w:pPr>
    <w:rPr>
      <w:rFonts w:ascii="Times New Roman" w:hAnsi="Times New Roman"/>
      <w:sz w:val="28"/>
      <w:lang w:val="uk-UA"/>
    </w:rPr>
  </w:style>
  <w:style w:type="character" w:styleId="aa">
    <w:name w:val="Hyperlink"/>
    <w:basedOn w:val="a0"/>
    <w:uiPriority w:val="99"/>
    <w:unhideWhenUsed/>
    <w:rsid w:val="0035378F"/>
    <w:rPr>
      <w:color w:val="0000FF"/>
      <w:u w:val="single"/>
    </w:rPr>
  </w:style>
  <w:style w:type="character" w:customStyle="1" w:styleId="e24kjd">
    <w:name w:val="e24kjd"/>
    <w:basedOn w:val="a0"/>
    <w:rsid w:val="0035378F"/>
  </w:style>
  <w:style w:type="character" w:styleId="ab">
    <w:name w:val="Strong"/>
    <w:basedOn w:val="a0"/>
    <w:uiPriority w:val="22"/>
    <w:qFormat/>
    <w:rsid w:val="0035378F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B1541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c">
    <w:name w:val="Normal (Web)"/>
    <w:basedOn w:val="a"/>
    <w:uiPriority w:val="99"/>
    <w:semiHidden/>
    <w:unhideWhenUsed/>
    <w:rsid w:val="00B15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874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C874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dp1-h-1">
    <w:name w:val="dp1-h-1"/>
    <w:basedOn w:val="a0"/>
    <w:rsid w:val="00C87471"/>
  </w:style>
  <w:style w:type="character" w:customStyle="1" w:styleId="dp1-h-2">
    <w:name w:val="dp1-h-2"/>
    <w:basedOn w:val="a0"/>
    <w:rsid w:val="00C87471"/>
  </w:style>
  <w:style w:type="table" w:styleId="ad">
    <w:name w:val="Table Grid"/>
    <w:basedOn w:val="a1"/>
    <w:uiPriority w:val="59"/>
    <w:rsid w:val="00E221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F25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F82C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2C01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cm-doc">
    <w:name w:val="cm-doc"/>
    <w:basedOn w:val="a0"/>
    <w:rsid w:val="00F82C01"/>
  </w:style>
  <w:style w:type="character" w:customStyle="1" w:styleId="cm-keyword">
    <w:name w:val="cm-keyword"/>
    <w:basedOn w:val="a0"/>
    <w:rsid w:val="00F82C01"/>
  </w:style>
  <w:style w:type="character" w:customStyle="1" w:styleId="cm-def1">
    <w:name w:val="cm-def1"/>
    <w:basedOn w:val="a0"/>
    <w:rsid w:val="00F82C01"/>
  </w:style>
  <w:style w:type="character" w:customStyle="1" w:styleId="cm-comment">
    <w:name w:val="cm-comment"/>
    <w:basedOn w:val="a0"/>
    <w:rsid w:val="00F82C01"/>
  </w:style>
  <w:style w:type="character" w:customStyle="1" w:styleId="cm-def3">
    <w:name w:val="cm-def3"/>
    <w:basedOn w:val="a0"/>
    <w:rsid w:val="00F82C01"/>
  </w:style>
  <w:style w:type="character" w:customStyle="1" w:styleId="cm-bracket">
    <w:name w:val="cm-bracket"/>
    <w:basedOn w:val="a0"/>
    <w:rsid w:val="00F82C01"/>
  </w:style>
  <w:style w:type="character" w:customStyle="1" w:styleId="cm-variable">
    <w:name w:val="cm-variable"/>
    <w:basedOn w:val="a0"/>
    <w:rsid w:val="00F82C01"/>
  </w:style>
  <w:style w:type="character" w:customStyle="1" w:styleId="cm-operator">
    <w:name w:val="cm-operator"/>
    <w:basedOn w:val="a0"/>
    <w:rsid w:val="00F82C01"/>
  </w:style>
  <w:style w:type="character" w:customStyle="1" w:styleId="cm-string">
    <w:name w:val="cm-string"/>
    <w:basedOn w:val="a0"/>
    <w:rsid w:val="00F82C01"/>
  </w:style>
  <w:style w:type="character" w:customStyle="1" w:styleId="cm-def">
    <w:name w:val="cm-def"/>
    <w:basedOn w:val="a0"/>
    <w:rsid w:val="00370AAC"/>
  </w:style>
  <w:style w:type="character" w:customStyle="1" w:styleId="cm-type">
    <w:name w:val="cm-type"/>
    <w:basedOn w:val="a0"/>
    <w:rsid w:val="00370AAC"/>
  </w:style>
  <w:style w:type="character" w:customStyle="1" w:styleId="cm-number">
    <w:name w:val="cm-number"/>
    <w:basedOn w:val="a0"/>
    <w:rsid w:val="00370A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9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</Pages>
  <Words>5605</Words>
  <Characters>3196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560219</cp:lastModifiedBy>
  <cp:revision>11</cp:revision>
  <dcterms:created xsi:type="dcterms:W3CDTF">2021-10-21T16:00:00Z</dcterms:created>
  <dcterms:modified xsi:type="dcterms:W3CDTF">2022-11-02T17:30:00Z</dcterms:modified>
</cp:coreProperties>
</file>