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lang w:val="uk-UA" w:eastAsia="ru-RU"/>
        </w:rPr>
        <w:t xml:space="preserve">Практична робота №1. Використання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моделей та стандартів конструювання програмного забезпечення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обирати моделі конструювання програмного забезпечення та застосовувати стандарти в процесі конструювання. </w:t>
      </w:r>
    </w:p>
    <w:p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Методичні рекомендації до виконання лабораторної роботи.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Ознайомитися з теоретичними відомостями</w:t>
      </w:r>
    </w:p>
    <w:p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Обрати тему для створення програмного проекту. Над цією темою ми будемо працювати в ході вивчення конструювання програмного забезпечення та продовження вивчення основ програмної інженерії. </w:t>
      </w:r>
    </w:p>
    <w:p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Обрати модель конструювання програмного забезпечення (водоспадна, поетапна, прототипування), надати обґрунтування вибору.</w:t>
      </w:r>
    </w:p>
    <w:p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Визначити стратегію конструювання програмного забезпечення (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водоспадна, </w:t>
      </w:r>
      <w:r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інкрементна, еволюційна</w:t>
      </w:r>
      <w:r>
        <w:rPr>
          <w:rFonts w:ascii="Times New Roman" w:hAnsi="Times New Roman" w:cs="Times New Roman"/>
          <w:sz w:val="28"/>
          <w:szCs w:val="28"/>
          <w:lang w:val="uk-UA"/>
        </w:rPr>
        <w:t>) та обґрунтувати її обрання.</w:t>
      </w:r>
    </w:p>
    <w:p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Відповідно до обраних моделі і стратегії накреслити схему їхньої реалізації.</w:t>
      </w:r>
    </w:p>
    <w:p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Визначити стандарти, які будуть необхідні в процесі конструювання програмного забезпечення. Для цього п</w:t>
      </w:r>
      <w:r>
        <w:rPr>
          <w:rStyle w:val="longtext"/>
          <w:rFonts w:ascii="Times New Roman" w:hAnsi="Times New Roman" w:cs="Times New Roman"/>
          <w:sz w:val="28"/>
          <w:szCs w:val="28"/>
          <w:lang w:val="uk-UA"/>
        </w:rPr>
        <w:t>роаналізувати наданий список стандартів, користуючись переліком, наданим після теоретичної частини (Додаткові відомості).</w:t>
      </w:r>
    </w:p>
    <w:p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Оформити результати відповідно до стандарту подання лабораторних/практичних робіт.</w:t>
      </w:r>
    </w:p>
    <w:p>
      <w:pPr>
        <w:pStyle w:val="22"/>
        <w:shd w:val="clear" w:color="auto" w:fill="auto"/>
        <w:spacing w:line="240" w:lineRule="auto"/>
        <w:ind w:firstLine="360"/>
        <w:jc w:val="both"/>
        <w:rPr>
          <w:rStyle w:val="21"/>
          <w:b/>
          <w:bCs/>
          <w:color w:val="000000"/>
          <w:sz w:val="28"/>
          <w:szCs w:val="28"/>
          <w:lang w:val="uk-UA" w:eastAsia="uk-UA"/>
        </w:rPr>
      </w:pPr>
      <w:r>
        <w:rPr>
          <w:rStyle w:val="21"/>
          <w:color w:val="000000"/>
          <w:sz w:val="28"/>
          <w:szCs w:val="28"/>
          <w:lang w:val="uk-UA" w:eastAsia="uk-UA"/>
        </w:rPr>
        <w:t>Мінімальні вимоги (необхідні для захисту роботи)</w:t>
      </w:r>
    </w:p>
    <w:p>
      <w:pPr>
        <w:pStyle w:val="22"/>
        <w:shd w:val="clear" w:color="auto" w:fill="auto"/>
        <w:spacing w:line="240" w:lineRule="auto"/>
        <w:ind w:firstLine="360"/>
        <w:jc w:val="both"/>
        <w:rPr>
          <w:sz w:val="28"/>
          <w:szCs w:val="28"/>
          <w:lang w:val="uk-UA"/>
        </w:rPr>
      </w:pPr>
      <w:bookmarkStart w:id="0" w:name="bookmark6"/>
      <w:r>
        <w:rPr>
          <w:rStyle w:val="21"/>
          <w:color w:val="000000"/>
          <w:sz w:val="28"/>
          <w:szCs w:val="28"/>
          <w:lang w:val="uk-UA" w:eastAsia="uk-UA"/>
        </w:rPr>
        <w:t>Звіт має містити:</w:t>
      </w:r>
      <w:bookmarkEnd w:id="0"/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rStyle w:val="ab"/>
          <w:sz w:val="28"/>
          <w:szCs w:val="28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Назва практичної роботи.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sz w:val="28"/>
          <w:szCs w:val="28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Прізвище, група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rStyle w:val="ab"/>
          <w:sz w:val="28"/>
          <w:szCs w:val="28"/>
          <w:shd w:val="clear" w:color="auto" w:fill="auto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Назва проекту.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rStyle w:val="ab"/>
          <w:sz w:val="28"/>
          <w:szCs w:val="28"/>
          <w:shd w:val="clear" w:color="auto" w:fill="auto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Визначення предметної області.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sz w:val="28"/>
          <w:szCs w:val="28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Мета розробки проекту, очікуваний результат.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sz w:val="28"/>
          <w:szCs w:val="28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О</w:t>
      </w:r>
      <w:r>
        <w:rPr>
          <w:sz w:val="28"/>
          <w:szCs w:val="28"/>
          <w:lang w:val="uk-UA"/>
        </w:rPr>
        <w:t xml:space="preserve">брана модель ЖЦ ПЗ та </w:t>
      </w:r>
      <w:r>
        <w:rPr>
          <w:rFonts w:eastAsia="Times New Roman"/>
          <w:bCs/>
          <w:sz w:val="28"/>
          <w:szCs w:val="28"/>
          <w:lang w:val="uk-UA" w:eastAsia="ru-RU"/>
        </w:rPr>
        <w:t>к</w:t>
      </w:r>
      <w:r>
        <w:rPr>
          <w:rStyle w:val="ab"/>
          <w:color w:val="000000"/>
          <w:sz w:val="28"/>
          <w:szCs w:val="28"/>
          <w:lang w:val="uk-UA" w:eastAsia="uk-UA"/>
        </w:rPr>
        <w:t>оротке обґрунтування вибору</w:t>
      </w:r>
      <w:r>
        <w:rPr>
          <w:sz w:val="28"/>
          <w:szCs w:val="28"/>
          <w:lang w:val="uk-UA"/>
        </w:rPr>
        <w:t xml:space="preserve"> 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rStyle w:val="ab"/>
          <w:sz w:val="28"/>
          <w:szCs w:val="28"/>
          <w:shd w:val="clear" w:color="auto" w:fill="auto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>О</w:t>
      </w:r>
      <w:r>
        <w:rPr>
          <w:sz w:val="28"/>
          <w:szCs w:val="28"/>
          <w:lang w:val="uk-UA"/>
        </w:rPr>
        <w:t xml:space="preserve">брана стратегія, ваш погляд на обрання стратегії конструювання </w:t>
      </w:r>
      <w:r>
        <w:rPr>
          <w:rFonts w:eastAsia="Times New Roman"/>
          <w:bCs/>
          <w:sz w:val="28"/>
          <w:szCs w:val="28"/>
          <w:lang w:val="uk-UA" w:eastAsia="ru-RU"/>
        </w:rPr>
        <w:t>та к</w:t>
      </w:r>
      <w:r>
        <w:rPr>
          <w:rStyle w:val="ab"/>
          <w:color w:val="000000"/>
          <w:sz w:val="28"/>
          <w:szCs w:val="28"/>
          <w:lang w:val="uk-UA" w:eastAsia="uk-UA"/>
        </w:rPr>
        <w:t>оротке обґрунтування вибору.</w:t>
      </w:r>
    </w:p>
    <w:p>
      <w:pPr>
        <w:pStyle w:val="ac"/>
        <w:numPr>
          <w:ilvl w:val="0"/>
          <w:numId w:val="3"/>
        </w:numPr>
        <w:shd w:val="clear" w:color="auto" w:fill="auto"/>
        <w:spacing w:line="240" w:lineRule="auto"/>
        <w:ind w:left="360" w:hanging="360"/>
        <w:jc w:val="both"/>
        <w:rPr>
          <w:sz w:val="28"/>
          <w:szCs w:val="28"/>
          <w:lang w:val="uk-UA"/>
        </w:rPr>
      </w:pPr>
      <w:r>
        <w:rPr>
          <w:rStyle w:val="ab"/>
          <w:color w:val="000000"/>
          <w:sz w:val="28"/>
          <w:szCs w:val="28"/>
          <w:lang w:val="uk-UA" w:eastAsia="uk-UA"/>
        </w:rPr>
        <w:t xml:space="preserve">Перелік необхідних стандартів для </w:t>
      </w:r>
      <w:r>
        <w:rPr>
          <w:sz w:val="28"/>
          <w:szCs w:val="28"/>
          <w:lang w:val="uk-UA"/>
        </w:rPr>
        <w:t>процесі конструювання програмного забезпечення</w:t>
      </w:r>
    </w:p>
    <w:p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lang w:val="uk-UA"/>
        </w:rPr>
      </w:pPr>
      <w:r>
        <w:rPr>
          <w:rStyle w:val="aa"/>
          <w:rFonts w:ascii="Times New Roman" w:hAnsi="Times New Roman" w:cs="Times New Roman"/>
          <w:b w:val="0"/>
          <w:i w:val="0"/>
          <w:color w:val="auto"/>
          <w:u w:val="none"/>
          <w:lang w:val="uk-UA"/>
        </w:rPr>
        <w:t>Результати надсилати на електронну адресу викладача</w:t>
      </w:r>
      <w:r>
        <w:rPr>
          <w:rStyle w:val="aa"/>
          <w:rFonts w:ascii="Times New Roman" w:hAnsi="Times New Roman" w:cs="Times New Roman"/>
          <w:color w:val="auto"/>
          <w:lang w:val="uk-UA"/>
        </w:rPr>
        <w:t xml:space="preserve"> </w:t>
      </w:r>
      <w:hyperlink r:id="rId7" w:history="1">
        <w:r>
          <w:rPr>
            <w:rStyle w:val="aa"/>
            <w:rFonts w:ascii="Times New Roman" w:hAnsi="Times New Roman" w:cs="Times New Roman"/>
            <w:lang w:val="uk-UA" w:eastAsia="uk-UA"/>
          </w:rPr>
          <w:t>t.i.lumpova@gmail.com</w:t>
        </w:r>
      </w:hyperlink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повинен мати назву в такому форматі: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KPZ&lt;Номер групи&gt;&lt;Номер лекції / практичної / лабораторної [літера позначення типу роботи L – лекція, P –практична, R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Наприклад,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KPZ4101R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buts.doc.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 копіюйте фрагментів з різних інформаційних джерел, подумайте і викладіть свою точку зору. При наявності робіт -"близнюків" відповідь буде зараховуватися першому за часом надсилання. </w:t>
      </w:r>
    </w:p>
    <w:p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Строк виконання цієї роботи ІПЗ-41 -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  <w:t>15.09.2026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lastRenderedPageBreak/>
        <w:t xml:space="preserve">Всі запитання, що виникнуть, надсилайте </w:t>
      </w:r>
      <w:r>
        <w:rPr>
          <w:rStyle w:val="aa"/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електронну адресу викладача</w:t>
      </w:r>
      <w:r>
        <w:rPr>
          <w:rStyle w:val="aa"/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Тему </w:t>
      </w:r>
      <w:proofErr w:type="gramStart"/>
      <w:r>
        <w:rPr>
          <w:rFonts w:ascii="Times New Roman" w:hAnsi="Times New Roman" w:cs="Times New Roman"/>
          <w:sz w:val="28"/>
          <w:szCs w:val="28"/>
          <w:lang w:eastAsia="uk-UA"/>
        </w:rPr>
        <w:t>в заголовку</w:t>
      </w:r>
      <w:proofErr w:type="gramEnd"/>
      <w:r>
        <w:rPr>
          <w:rFonts w:ascii="Times New Roman" w:hAnsi="Times New Roman" w:cs="Times New Roman"/>
          <w:sz w:val="28"/>
          <w:szCs w:val="28"/>
          <w:lang w:eastAsia="uk-UA"/>
        </w:rPr>
        <w:t xml:space="preserve"> листа записати</w:t>
      </w:r>
    </w:p>
    <w:p>
      <w:pPr>
        <w:spacing w:after="0" w:line="240" w:lineRule="auto"/>
        <w:ind w:left="360"/>
        <w:jc w:val="both"/>
        <w:rPr>
          <w:rStyle w:val="ad"/>
          <w:rFonts w:ascii="Times New Roman" w:hAnsi="Times New Roman" w:cs="Times New Roman"/>
          <w:b w:val="0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eastAsia="uk-UA"/>
        </w:rPr>
        <w:t>KPZ  &lt;</w:t>
      </w:r>
      <w:proofErr w:type="gramEnd"/>
      <w:r>
        <w:rPr>
          <w:rFonts w:ascii="Times New Roman" w:hAnsi="Times New Roman" w:cs="Times New Roman"/>
          <w:b/>
          <w:sz w:val="28"/>
          <w:szCs w:val="28"/>
          <w:lang w:eastAsia="uk-UA"/>
        </w:rPr>
        <w:t>Номер групи&gt;-Запитання-&lt;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 &gt;</w:t>
      </w:r>
      <w:r>
        <w:rPr>
          <w:rStyle w:val="aa"/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КОНТРОЛЬНІ ПИТАННЯ: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дії потребують регламентації під час розроблення ПЗ?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Яким чином можна оцінити якість ПЗ?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мета стандартів щодо визначення термінів?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Як, на Вашу думку, потрібно застосовувати стандарти і чи є це обов‘язковим?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негативні наслідки можуть бути від нехтування стандартами.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Чим на Вашу думку викликана потреба в стандартизації ПЗ?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базові стандарти на розробку ПЗ Ви знаєте?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Як розподілені процеси ЖЦ ПЗ в стандарті ISO 12207? 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В чому </w:t>
      </w:r>
      <w:r>
        <w:rPr>
          <w:rFonts w:ascii="Times New Roman" w:hAnsi="Times New Roman" w:cs="Times New Roman"/>
          <w:bCs/>
          <w:kern w:val="36"/>
          <w:sz w:val="28"/>
          <w:szCs w:val="28"/>
          <w:lang w:val="uk-UA"/>
        </w:rPr>
        <w:t xml:space="preserve">особливості стандарту </w:t>
      </w:r>
      <w:r>
        <w:rPr>
          <w:rFonts w:ascii="Times New Roman" w:hAnsi="Times New Roman" w:cs="Times New Roman"/>
          <w:bCs/>
          <w:sz w:val="28"/>
          <w:szCs w:val="28"/>
          <w:lang w:val="uk-UA" w:eastAsia="uk-UA"/>
        </w:rPr>
        <w:t>ISO</w:t>
      </w:r>
      <w:r>
        <w:rPr>
          <w:rFonts w:ascii="Times New Roman" w:hAnsi="Times New Roman" w:cs="Times New Roman"/>
          <w:bCs/>
          <w:kern w:val="36"/>
          <w:sz w:val="28"/>
          <w:szCs w:val="28"/>
          <w:lang w:val="uk-UA"/>
        </w:rPr>
        <w:t xml:space="preserve"> 12207?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В чому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цінність стандарту ISO 12207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>
      <w:pPr>
        <w:pStyle w:val="a9"/>
        <w:numPr>
          <w:ilvl w:val="0"/>
          <w:numId w:val="19"/>
        </w:numPr>
        <w:spacing w:after="0" w:line="240" w:lineRule="auto"/>
        <w:ind w:left="0" w:hanging="1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визначається відповідно до стандарту IS0 12207 вимога кваліфікації?</w:t>
      </w:r>
    </w:p>
    <w:p>
      <w:pPr>
        <w:pStyle w:val="a9"/>
        <w:spacing w:after="0" w:line="240" w:lineRule="auto"/>
        <w:ind w:left="0"/>
        <w:jc w:val="both"/>
        <w:rPr>
          <w:rStyle w:val="longtext"/>
          <w:rFonts w:ascii="Times New Roman" w:hAnsi="Times New Roman" w:cs="Times New Roman"/>
          <w:sz w:val="28"/>
          <w:szCs w:val="28"/>
        </w:rPr>
      </w:pPr>
    </w:p>
    <w:p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lang w:val="uk-UA"/>
        </w:rPr>
      </w:pPr>
      <w:r>
        <w:rPr>
          <w:rFonts w:ascii="Times New Roman" w:hAnsi="Times New Roman" w:cs="Times New Roman"/>
          <w:i w:val="0"/>
          <w:iCs w:val="0"/>
          <w:lang w:val="uk-UA"/>
        </w:rPr>
        <w:t>Теоретичні відомості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Моделі КПЗ визначають комплекс операцій, які включають послідовність, результати та інші аспекти, пов’язані з загальним життєвим циклом розробки програмного забезпечення (ЖЦ ПЗ).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Моделі КПЗ визначаються стандартом життєвого циклу, який використовується, методологіями та практиками, що застосовуються.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Відповідно до обраної моделі ЖЦ ПЗ визначають методи, засоби та процедури КПЗ, що по суті складає модель КПЗ.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Процес сучасної розробки ПЗ орієнтований на ЖЦ програмного  продукту. Всі  існуючі зараз технології, методики и стандарти  напряму або опосередковано стосуються або регламентують етапи ЖЦ.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Модель процесу (МП) описує узагальнений процес, та зазвичай включає: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набір етапів, на які повинен бути поділений процес;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порядок, в якому ці процеси повинні виконуватися; 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різні обмеження та умови на виконання  цих етапів.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Коли обрана модель може застосовуватися, її використання в якості процесу проекту дозволить: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зменшити видатки, 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підвищити якість, 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зменшити час розробки, 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а також принести інші вигоди.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модель процесу надає загальні методичні вказівки для розробки підходящого процесу  виконання проекту. 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Методи КПЗ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Методи забезпечують вирішення таких задач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планування та оцінка проекту;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аналіз системних и програмних вимог;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проектування алгоритмів, структур даних та програмних структур;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кодування;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тестування;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супроводження.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Засоби КПЗ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забезпечують автоматизовану або автоматичну підтримку методів. В цілях спільного використання утілити можуть об’єднуватися в системи автоматизованого конструювання ПЗ. Такі системи прийнято називати CASE-системами. Абревіатура CASE розшифровується як Computer Aided Software Engineering (програмна інженерія з комп’ютерною підтримкою).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Процедури КПЗ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Процедури є з’єднуючою ланкою, яке зв’язує методи та засоби таким чином, що вони забезпечують неперервний технологічний ланцюг розробки.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Вони визначають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>
      <w:pPr>
        <w:pStyle w:val="a9"/>
        <w:numPr>
          <w:ilvl w:val="0"/>
          <w:numId w:val="1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порядок застосування методів та утиліт;</w:t>
      </w:r>
    </w:p>
    <w:p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формування звітів, форм за відповідними вимогами;</w:t>
      </w:r>
    </w:p>
    <w:p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контроль, який допомагає забезпечити якість та координувати зміни;</w:t>
      </w:r>
    </w:p>
    <w:p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формування основ, за якими керівники оцінюють прогрес.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ДОДАТКОВІ ВІДОМОСТІ</w:t>
      </w:r>
    </w:p>
    <w:p>
      <w:pPr>
        <w:spacing w:before="100" w:beforeAutospacing="1" w:after="100" w:afterAutospacing="1" w:line="240" w:lineRule="auto"/>
        <w:outlineLvl w:val="0"/>
        <w:rPr>
          <w:rStyle w:val="longtext"/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</w:rPr>
        <w:t xml:space="preserve">Перелік Національних стандартів України для створення, впровадження та супроводження автоматизованих і інформаційних систем можна отримати на сайті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Національної бібліотеки України імені В. І. Вернадського  - </w:t>
      </w:r>
      <w:r>
        <w:rPr>
          <w:rStyle w:val="longtext"/>
          <w:rFonts w:ascii="Times New Roman" w:hAnsi="Times New Roman" w:cs="Times New Roman"/>
          <w:b/>
          <w:sz w:val="28"/>
          <w:szCs w:val="28"/>
        </w:rPr>
        <w:t>URL</w:t>
      </w:r>
      <w:r>
        <w:rPr>
          <w:rStyle w:val="longtext"/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hyperlink r:id="rId8" w:history="1">
        <w:r>
          <w:rPr>
            <w:rStyle w:val="aa"/>
            <w:rFonts w:ascii="Times New Roman" w:hAnsi="Times New Roman" w:cs="Times New Roman"/>
            <w:b/>
            <w:sz w:val="28"/>
            <w:szCs w:val="28"/>
          </w:rPr>
          <w:t>http</w:t>
        </w:r>
        <w:r>
          <w:rPr>
            <w:rStyle w:val="aa"/>
            <w:rFonts w:ascii="Times New Roman" w:hAnsi="Times New Roman" w:cs="Times New Roman"/>
            <w:b/>
            <w:sz w:val="28"/>
            <w:szCs w:val="28"/>
            <w:lang w:val="uk-UA"/>
          </w:rPr>
          <w:t>://</w:t>
        </w:r>
        <w:r>
          <w:rPr>
            <w:rStyle w:val="aa"/>
            <w:rFonts w:ascii="Times New Roman" w:hAnsi="Times New Roman" w:cs="Times New Roman"/>
            <w:b/>
            <w:sz w:val="28"/>
            <w:szCs w:val="28"/>
          </w:rPr>
          <w:t>nbuv</w:t>
        </w:r>
        <w:r>
          <w:rPr>
            <w:rStyle w:val="aa"/>
            <w:rFonts w:ascii="Times New Roman" w:hAnsi="Times New Roman" w:cs="Times New Roman"/>
            <w:b/>
            <w:sz w:val="28"/>
            <w:szCs w:val="28"/>
            <w:lang w:val="uk-UA"/>
          </w:rPr>
          <w:t>.</w:t>
        </w:r>
        <w:r>
          <w:rPr>
            <w:rStyle w:val="aa"/>
            <w:rFonts w:ascii="Times New Roman" w:hAnsi="Times New Roman" w:cs="Times New Roman"/>
            <w:b/>
            <w:sz w:val="28"/>
            <w:szCs w:val="28"/>
          </w:rPr>
          <w:t>gov</w:t>
        </w:r>
        <w:r>
          <w:rPr>
            <w:rStyle w:val="aa"/>
            <w:rFonts w:ascii="Times New Roman" w:hAnsi="Times New Roman" w:cs="Times New Roman"/>
            <w:b/>
            <w:sz w:val="28"/>
            <w:szCs w:val="28"/>
            <w:lang w:val="uk-UA"/>
          </w:rPr>
          <w:t>.</w:t>
        </w:r>
        <w:r>
          <w:rPr>
            <w:rStyle w:val="aa"/>
            <w:rFonts w:ascii="Times New Roman" w:hAnsi="Times New Roman" w:cs="Times New Roman"/>
            <w:b/>
            <w:sz w:val="28"/>
            <w:szCs w:val="28"/>
          </w:rPr>
          <w:t>ua</w:t>
        </w:r>
      </w:hyperlink>
    </w:p>
    <w:p>
      <w:pPr>
        <w:pStyle w:val="flleft"/>
        <w:rPr>
          <w:bCs/>
          <w:kern w:val="36"/>
          <w:sz w:val="28"/>
          <w:szCs w:val="28"/>
          <w:lang w:val="uk-UA"/>
        </w:rPr>
      </w:pPr>
      <w:r>
        <w:rPr>
          <w:rStyle w:val="longtext"/>
          <w:sz w:val="28"/>
          <w:szCs w:val="28"/>
          <w:lang w:val="uk-UA"/>
        </w:rPr>
        <w:t xml:space="preserve">Джерело: сайт </w:t>
      </w:r>
      <w:r>
        <w:rPr>
          <w:sz w:val="28"/>
          <w:szCs w:val="28"/>
          <w:lang w:val="uk-UA"/>
        </w:rPr>
        <w:t xml:space="preserve">Національної бібліотеки України імені В. І. Вернадського  - </w:t>
      </w:r>
      <w:r>
        <w:rPr>
          <w:rStyle w:val="longtext"/>
          <w:sz w:val="28"/>
          <w:szCs w:val="28"/>
        </w:rPr>
        <w:t>URL</w:t>
      </w:r>
      <w:r>
        <w:rPr>
          <w:rStyle w:val="longtext"/>
          <w:sz w:val="28"/>
          <w:szCs w:val="28"/>
          <w:lang w:val="uk-UA"/>
        </w:rPr>
        <w:t xml:space="preserve">: </w:t>
      </w:r>
      <w:hyperlink r:id="rId9" w:history="1">
        <w:r>
          <w:rPr>
            <w:rStyle w:val="aa"/>
            <w:sz w:val="28"/>
            <w:szCs w:val="28"/>
          </w:rPr>
          <w:t>http</w:t>
        </w:r>
        <w:r>
          <w:rPr>
            <w:rStyle w:val="aa"/>
            <w:sz w:val="28"/>
            <w:szCs w:val="28"/>
            <w:lang w:val="uk-UA"/>
          </w:rPr>
          <w:t>://</w:t>
        </w:r>
        <w:r>
          <w:rPr>
            <w:rStyle w:val="aa"/>
            <w:sz w:val="28"/>
            <w:szCs w:val="28"/>
          </w:rPr>
          <w:t>nbuv</w:t>
        </w:r>
        <w:r>
          <w:rPr>
            <w:rStyle w:val="aa"/>
            <w:sz w:val="28"/>
            <w:szCs w:val="28"/>
            <w:lang w:val="uk-UA"/>
          </w:rPr>
          <w:t>.</w:t>
        </w:r>
        <w:r>
          <w:rPr>
            <w:rStyle w:val="aa"/>
            <w:sz w:val="28"/>
            <w:szCs w:val="28"/>
          </w:rPr>
          <w:t>gov</w:t>
        </w:r>
        <w:r>
          <w:rPr>
            <w:rStyle w:val="aa"/>
            <w:sz w:val="28"/>
            <w:szCs w:val="28"/>
            <w:lang w:val="uk-UA"/>
          </w:rPr>
          <w:t>.</w:t>
        </w:r>
        <w:r>
          <w:rPr>
            <w:rStyle w:val="aa"/>
            <w:sz w:val="28"/>
            <w:szCs w:val="28"/>
          </w:rPr>
          <w:t>ua</w:t>
        </w:r>
        <w:r>
          <w:rPr>
            <w:rStyle w:val="aa"/>
            <w:sz w:val="28"/>
            <w:szCs w:val="28"/>
            <w:lang w:val="uk-UA"/>
          </w:rPr>
          <w:t>/</w:t>
        </w:r>
        <w:r>
          <w:rPr>
            <w:rStyle w:val="aa"/>
            <w:sz w:val="28"/>
            <w:szCs w:val="28"/>
          </w:rPr>
          <w:t>node</w:t>
        </w:r>
        <w:r>
          <w:rPr>
            <w:rStyle w:val="aa"/>
            <w:sz w:val="28"/>
            <w:szCs w:val="28"/>
            <w:lang w:val="uk-UA"/>
          </w:rPr>
          <w:t>/1469</w:t>
        </w:r>
      </w:hyperlink>
      <w:r>
        <w:rPr>
          <w:rStyle w:val="longtext"/>
          <w:sz w:val="28"/>
          <w:szCs w:val="28"/>
          <w:lang w:val="uk-UA"/>
        </w:rPr>
        <w:t xml:space="preserve"> надає такі відомості, які потрібно уточнювати щодо чинності</w:t>
      </w:r>
      <w:r>
        <w:rPr>
          <w:bCs/>
          <w:kern w:val="36"/>
          <w:sz w:val="28"/>
          <w:szCs w:val="28"/>
          <w:lang w:val="uk-UA"/>
        </w:rPr>
        <w:t xml:space="preserve"> .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3008-95 „Документація. Звіти у сфері науки і техніки. Структура і правила оформлення”;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3973-2000„Правила виконання науково-дослідних робіт. Загальні положення”;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3974-2000 „Правила виконання дослідно-конструкторських робіт. Загальні положення”;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3396.0-96 Захист інформації. Технічний захист інформації. Основні положення;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3396.1-96 Захист інформації. Технічний захист інформації. Порядок проведення робіт;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3396.2-97 Захист інформації. Технічний захист інформації. Терміни та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2844-94 Програмні засоби ЕОМ. Забезпечення якості. Терміни та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2873-94 Системи оброблення інформації. Програмування. Терміни та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2941-94 Системи оброблення інформації. Розроблення систем. Терміни та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ДСТУ ISO/IEC 2382-15:2005 Інформаційні технології. Словник термінів. Частина 15. Мови програмування;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2382-5:2005 Інформаційні технології. Словник термінів. Частина 5. Подання даних;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2382-4:2005 Інформаційні технології. Словник термінів. Частина 4. Організація даних;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2382-17:2005 Інформаційні технології. Словник термінів. Частина 17. Бази даних;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2382-18:2005 Інформаційні технології. Словник термінів. Частина 18. Розподілене оброблення даних;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2382-9:2005 Інформаційні технології. Словник термінів. Частина 9: Обмін даними;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2382-14:2005 Інформаційні технології. Словник термінів. Частина 14. Безвідмовність, ремонтопридатність і готовність;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ІSO/ІЕС 90003:2006          Програмна інженерія. Настанови щодо застосування ІSO 9001:2000 до програмного забезпечення (ІSO/ІЕС 9003:2004, IDT);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4071–2002 Інформаційні технології. Архітектура відкритого розподіленого керування та підтримка загальної архітектури брокера об'єктних запитів (CORBA);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ДСТУ 4072–2002 Інформаційні технології. Мови програмування, їхні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середовище  і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системний інтерфейс. Незалежний від мов виклик процедур (LIPC);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ДСТУ ISO/IEC TR 14369:2003 Інформаційні технології. Мови програмування, їхні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середовище  і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системний інтерфейс. Настанова щодо підготовки незалежних від мов специфікацій сервісу (LISS);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4249:03 Інформаційні технології. Настанова щодо POSIX-сумісних середовищ відкритих систем (POSIX-OSE) (ISO/IEC TR 14252:1996, MOD);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2850-94 Програмні засоби ЕОМ. Показники і методи оцінювання якості;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2851-94 Програмні засоби ЕОМ. Документування результатів випробувань;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2853-94 Програмні засоби ЕОМ. Підготовлення і проведення випробувань;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3918-99 (ISO/IEC 12207:1995) Інформаційні технології. Процеси життєвого циклу програмного забезпечення;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3919-99 (ISO/IEC 14102:1995) Інформаційні технології. Основні напрямки оцінювання та відбору CASE-інструментів;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4302:2004 Інформаційні технології. Настанови щодо документування комп`ютерних програм (ISO/IEC 6592:2000, MOD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TR 12182:2004 Інформаційні технології. Класифікація програмних засобів (ISO/IEC TR 12182:1998,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14598-1:2004 Інформаційні технології. Оцінювання програмного продукту. Частина 1. Загальний огляд (ISO/IEC 14598-1:1999,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14598-2:2005 Інформаційні технології. Оцінювання програмного продукту. Частина 2. Планування та керування (ISO/IEC 14598-2:2000,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ДСТУ ISO/IEC 14598-3:2005 Інформаційні технології. Оцінювання програмного продукту. Частина 3. Процес для розробників (ISO/IEC 14598-3:2000,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14598-4:2005 Інформаційні технології. Оцінювання програмного продукту. Частина 4. Процес для замовників (ISO/IEC 14598-4:1999,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14598-5:2005 Інформаційні технології. Оцінювання програмного продукту. Частина 5. Процес для оцінювачів (ISO/IEC 14598-5:1998,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14598-6:2005 Інформаційні технології. Оцінювання програмного продукту. Частина 6. Документація модулів оцінювання (ISO/IEC 14598-6:2001, IDT);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14764-2002          Інформаційні технології. Супровід програмного забезпечення (ISO/IEC 14764:1999, IDT);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15288:2005          Інформаційні технології. Процеси життєвого циклу системи (ISO/IEC 15288:2002,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TR 15504-1-2002            Інформаційні технології. Оцінювання процесів життєвого циклу програмних засобів. Частина 1. Концепції та вступна настанова (ISO/IEC TR 15504-1:1998, IDT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 ;</w:t>
      </w:r>
      <w:proofErr w:type="gramEnd"/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 9735-1:2006 Електронний обмін даними для адміністрування, у торгівлі і на транспорті (EDIFACT). Правила синтаксису прикладного рівня (номер версії синтаксису: 4, номер редакції синтаксису: 1); у 10 частинах.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ISO/TS 20625:2007 Обмін електронними даними для управління, торгівлі і транспорту (EDIFACT). Правила генерації файлів XML-схем (XSD) на основі настанови з реалізації EDI(FACT);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4145:2002 Інформаційні технології. Криптографічний захист інформації. Електронний цифровий підпис, що ґрунтується на еліптичних кривих;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13888–2002 Інформаційні технології. Методи захисту. Неспростовність»: Частина 1. Загальні положення;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13888–2002 Інформаційні технології. Методи захисту. Неспростовність»: Частина 3. Механізми з використанням асиметричних методів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14888–1:2002 Інформаційні технології. Методи захисту. Цифрові підписи з доповненням» Частина 1. Загальні положення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14888–2:2002 Інформаційні технології. Методи захисту. Цифрові підписи з доповненням» Частина 2. Механізми на основі ідентифікаторів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14888–3:2002 Інформаційні технології. Методи захисту. Цифрові підписи з доповненням» Частина 3. Механізми на основі сертифікатів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10118-1:2000 Інформаційні технології. Методи захисту. Геш функції. Частина 1. Загальні положення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10118-2:2000 Інформаційні технології. Методи захисту. Геш функції. Частина 2. Геш функції, що використовують n-бітний блоковий шифр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10118-3:2004 Інформаційні технології. Методи захисту. Геш функції. Частина 3. Спеціалізовані геш функції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13335-1:2004 Інформаційні технології. Методи захисту. Керування інформацією й безпекою технології комунікацій. Частина 1. Поняття й моделі для інформації й керування безпекою технології комунікацій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ДСТУ ISO/IEC 15946-1:2008 Інформаційні технології. Методи захисту. Криптогра</w:t>
      </w:r>
      <w:r>
        <w:rPr>
          <w:rFonts w:ascii="Times New Roman" w:eastAsia="Times New Roman" w:hAnsi="Times New Roman" w:cs="Times New Roman"/>
          <w:sz w:val="28"/>
          <w:szCs w:val="28"/>
        </w:rPr>
        <w:softHyphen/>
        <w:t>фічні методи, засновані на еліптичних кривих. Частина 1. Загальні положення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ДСТУ ISO/IEC 18014-1:2002 Інформаційні технології. Методи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захисту .Послуги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штемпелювання часу - Частина 1: Структура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18014-2:2002 Інформаційні технології. Методи захисту. Послуги штемпелювання часу. Частина 2. Механізми, що генерують незалежні токени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9798-1:1997 Інформаційні технології. Методи захисту. Автентифікація сутності. Частина 1. Загальні положення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ДСТУ ISO/IEC 9798-3:1998 Інформаційні технології. Методи захисту. Автентифікація сутності. Частина 3.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Механізми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що використовують методи цифрового підпису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TR 13335-1:2001 Інформаційні технології. Настанова для керування IT безпекою. Частина 5. Настанова керування безпекою мережі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14172-1:2008 Настанова EESSI з оцінювання відповідності. Частина 1: Загальні положення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2. Послуги та процеси органу сертифікації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3. Надійні системи, що управляють сертифікатами для електронних підписів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4. Застосовування для накладання підпису та загальні настанови з перевірки електронного підпису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5. Безпечні засоби створення підпису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6:2008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6. Засіб створення підписів, що підтримує підписи, крім кваліфікованих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7:2008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7. Криптографічні модулі, використовувані провайдерами послуг сертифікації для операцій підписування та послуг генерування ключів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ДСТУ-П CWA 14172-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8:2008  Настанова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EESSI з оцінювання відповідності. Частина 8. Послуги та процеси органу штемпелювання часу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CWA 14365-1:2008 Настанова з використання електронних підписів. Частина 1. Юридичні та технічні аспекти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8824-1:2008 Інформаційні технології. Нотація абстрактного синтаксису (ASN.1) Частина 1: Специфікація базової нотації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8824-2:2008 Інформаційні технології. Нотація абстрактного синтаксису 1 (ASN.1). Частина 2. Специфікація інформаційного об’єкту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8824-3:2008 Інформаційні технології. Нотація абстрактного синтаксису 1 (ASN.1) Частина 3. Специфікація обмежень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8824-4:2008 Інформаційні технології Нотація абстрактного синтаксису 1 (ASN.1) Частина 4: Параметризація специфікацій ASN.1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CWA 14167-3:2008 Криптографічний модуль для послуг генерування ключів провайдером послуг сертифікації. Профіль захисту CMCKG-PP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ДСТУ ETSI TS 101 733:2009 Електронні підписи та інфраструктури (ESI). CMS-розширені електронні підписи (CAdES)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102 734:2009 Електронні підписи й інфраструктури; Профілі CMS розширених електронних підписів, що ґрунтуються на TS 101 733 (CAdES)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101 903:2009 XML-розширені електронні підписи (XAdES)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102 904:2009 Електронні підписи й інфраструктури. Профілі розширених електронних підписів XML, що ґрунтуються на TS 101 903 (XAdES)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101 862:2009 Профіль посилених сертифікатів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101 861: 2009 Профіль штемпелювання часу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102 176-1:2009 Електронні підписи й інфраструктури (ESI). Алгоритми й параметри для безпечних електронних підписів Частина 1. Геш-Функції й асиметричні алгоритми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102 176-2:2009 Електронні підписи й інфраструктури (ESI). Алгоритми та параметри для безпечних електронних підписів. Частина 2. Протоколи безпечного каналу й алгоритми для засобів накладання підпису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102 023:2009 Електронні підписи й інфраструктури (ESI). Вимоги політики для органів штемпелювання часу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102 047:2009 Міжнародна гармонізація форматів електронних підписів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ETSI TS 102 045:2009 Електронні підписи й інфраструктури (ESI). Політика підписів для розширеної бізнес-моделі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4353-5:2004 Інформаційні технології. Восьмибітні однобайтні набори кодованих графічних символів. Частина 5: Латиниця/кирилиця (ISO/IEC 8859-5:1999)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ДСТУ 4354-1:2004 Інформаційні технології. Універсальний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мультиоктетний  набір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кодованих символів (UCS). Частина 1: Архітектура і базова мультилінгвістична плата (ISO/IEC 10646-1:2000)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4355-2004 Інформаційні технології. Процедура реєстрації ESCAPE-послідовностей і наборів кодованих символів (ISO/IEC 2375: 2003)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4356-2004 Інформаційні технології. Міжнародне впорядкування і зіставлення рядків. Метод порівняння символьних рядків і опис порядку підгонки загальних шаблонів (ISO/IEC 14651:2001)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4358-2004 Інформаційні технології. Процедури реєстрації культурних елементів (ISO/IEC 15897:1999)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ISO/IEC TR 11017:2004 Інформаційні технології. Середовище інтернаціоналізації (ISO/IEC TR 11017:1998)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3986:2000 (ISO 8879:1986) Інформаційні технології. Електронний доку-ментообіг. Стандартна мова узагальненої розмітки (SGML)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ДСТУ 3719:1998 (ISO/IEC 8613:1989) Інформаційні технології. Електронний документообіг. Архітектура службових документів (ODA) та обмінний формат. Частини 1-4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19.001-77. Єдина система програмної документації. Загальні положення;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ГОСТ  19.005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-85.  Єдина система програмної документації.  Р-схеми алгоритмів та програм. Позначення умовні графічні та правила виконання;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19.101-77 (СТ СЗВ 1626-79). Єдина система програмної документації. Види програм і програмних документів;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19.102-77. Єдина система програмної документації. Стадії розробки;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ГОСТ 19.103-77. Єдина система програмної документації. Позначення програм програмних документів;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19.104-78 (СТ СЗВ 2088-80). Єдина система програмної документації. Основні написи;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19.105-78 (СТ СЗВ 2088-80). Єдина система програмної документації. Загальні вимоги до текстових програмних документів;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19.106-78 (СТ СЗВ 2088-80). Єдина система програмної документації. Вимоги до програмних документів, що виконані друкованим способом;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19.201-78 (СТ СЗВ 1627-79). Єдина система програмної документації. Технічне завдання.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19.202-78 (СТ СЗВ 2090-80). Єдина система програмної документації. Специфікація.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19.301-79 (СТ СЗВ 3747-82). Єдина система програмної документації. Програма та методика випробувань.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19.401-78 (СТ СЗВ 3746-82). Єдина система програмної документації. Текст програми.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19.402-78 (СТ СЗВ 2092-80). Єдина система програмної документації. Опис програми;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19.403-79. Єдина система програмної документації. Відомість утримувачів оригіналів;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19.404-79. Єдина система програмної документації. Пояснювальна записка.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19.501-78. Єдина система програмної документації. Формуляр.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19.502-78 (СТ СЗВ 2093-80). Єдина система програмної документації. Опис застосування.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19.503-79 (СТ СЗВ 2094-80). Єдина система програмної документації. Нас танова системного програміста.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19.504-79 (СТ СЗВ 2095-80). Єдина система програмної документації. Настанова програміста.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19.505-79 (СТ СЗВ 2096-80). Єдина система програмної документації. Настанова оператора.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19.506-79 (СТ СЗВ 2097-80). Єдина система програмної документації. Опис мови.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19.507-79 (СТ СЗВ 2091-80). Єдина система програмної документації. Відомість експлуатаційних документів;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19.508-79. Єдина система програмної документації. Посібник з технічного обслуговування. Вимоги до змісту та оформлення;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19.602-78. Єдина система програмної документації. Правила дублювання, обліку та зберігання програмних документів, що виконані друкарським способом;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19.603-78 (СТ СЗВ 2089-80). Єдина система програмної документації. Загальні правила внесення змін;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19.604-78 (СТ СЗВ 2089-80). Єдина система програмної документації. Правила внесення змін до програмних документів, що виконані друкарським способом;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ГОСТ 19.701-90 (ИСО 5807-85). Єдина система програмної документації. Схеми алгоритмів, програм, даних та систем;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ГОСТ  19781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-90 Програмне забезпечення  систем  обробки  інформації. 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Терміни  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28195-89. Оцінка якості програмних засобів. Загальні положення. ГОСТ 28806-90. Якість програмних засобів. Терміни та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34.003-90. Інформаційна технологія. Комплекс стандартів на автоматизовані системи. Автоматизовані системи. Терміни та визначення;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34.201-89. Інформаційна технологія. Комплекс стандартів на автоматизовані системи. Види, комплектність і позначення документів при створенні автоматизованих систем;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34.601-90. Інформаційна технологія. Комплекс стандартів на автоматизовані системи. Автоматизовані системи. Стадії створення;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34.602-89. Інформаційна технологія. Комплекс стандартів на автоматизовані системи. Технічне завдання на створення автоматизованої системи;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34.603-92. Інформаційна технологія. Види випробувань автоматизованих систем;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РД 50-34.698-90. Методичні вказівки. Інформаційна технологія. Комплекс стандартів і керівних документів на автоматизовані системи. Автоматизовані системи. Вимоги до змісту документів;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РД 50-682-89. Методичні вказівки. Інформаційна технологія. Комплекс стандартів і керівних документів на автоматизовані системи. Загальні положення;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Р ИСО/ МЭК ТО 9274-93. Інформаційна технологія. Настанова з управління документуванням програмного забезпечення;</w:t>
      </w:r>
    </w:p>
    <w:p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Р ИСО/МЭК ТО 10000-1-93. Інформаційна технологія. Основи та таксономія функціональних стандар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тів. Частина 1. Основи.</w:t>
      </w:r>
    </w:p>
    <w:p>
      <w:pPr>
        <w:pStyle w:val="flleft"/>
        <w:ind w:left="708"/>
        <w:rPr>
          <w:rStyle w:val="longtext"/>
          <w:b/>
          <w:i/>
          <w:sz w:val="28"/>
          <w:szCs w:val="28"/>
          <w:lang w:val="uk-UA"/>
        </w:rPr>
      </w:pPr>
      <w:r>
        <w:rPr>
          <w:rStyle w:val="longtext"/>
          <w:b/>
          <w:i/>
          <w:color w:val="FF0000"/>
          <w:sz w:val="28"/>
          <w:szCs w:val="28"/>
          <w:lang w:val="uk-UA"/>
        </w:rPr>
        <w:t>Сучасні стандарти не містять опису складу документів, але коли потрібно скласти свій документ, доцільно подивитися, що в нього вкладалося  раніше.</w:t>
      </w:r>
      <w:r>
        <w:rPr>
          <w:rStyle w:val="longtext"/>
          <w:b/>
          <w:i/>
          <w:sz w:val="28"/>
          <w:szCs w:val="28"/>
          <w:lang w:val="uk-UA"/>
        </w:rPr>
        <w:t xml:space="preserve"> </w:t>
      </w:r>
    </w:p>
    <w:p>
      <w:pPr>
        <w:pStyle w:val="flleft"/>
        <w:ind w:left="708"/>
        <w:rPr>
          <w:rStyle w:val="longtext"/>
          <w:sz w:val="28"/>
          <w:szCs w:val="28"/>
          <w:lang w:val="uk-UA"/>
        </w:rPr>
      </w:pPr>
      <w:r>
        <w:rPr>
          <w:rStyle w:val="longtext"/>
          <w:sz w:val="28"/>
          <w:szCs w:val="28"/>
          <w:lang w:val="uk-UA"/>
        </w:rPr>
        <w:t>Короткий опис складу документів стандартизації попередніх років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Style w:val="mw-headline"/>
          <w:rFonts w:ascii="Times New Roman" w:hAnsi="Times New Roman" w:cs="Times New Roman"/>
          <w:b/>
          <w:sz w:val="28"/>
          <w:szCs w:val="28"/>
        </w:rPr>
        <w:t>Види програмних документів</w:t>
      </w:r>
      <w:r>
        <w:rPr>
          <w:rStyle w:val="mw-headline"/>
          <w:rFonts w:ascii="Times New Roman" w:hAnsi="Times New Roman" w:cs="Times New Roman"/>
          <w:b/>
          <w:sz w:val="28"/>
          <w:szCs w:val="28"/>
          <w:lang w:val="uk-UA"/>
        </w:rPr>
        <w:t xml:space="preserve"> за </w:t>
      </w:r>
      <w:r>
        <w:rPr>
          <w:rStyle w:val="reference-text"/>
          <w:rFonts w:ascii="Times New Roman" w:hAnsi="Times New Roman" w:cs="Times New Roman"/>
          <w:sz w:val="28"/>
          <w:szCs w:val="28"/>
        </w:rPr>
        <w:t>ГОСТ 19.101-77 Единая система программной документации. Виды программ и программных документов.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Програ́мна документа́ція</w:t>
      </w:r>
      <w:r>
        <w:rPr>
          <w:sz w:val="28"/>
          <w:szCs w:val="28"/>
          <w:lang w:val="uk-UA"/>
        </w:rPr>
        <w:t xml:space="preserve"> — сукупність документів, що містять відомості, необхідні для розробки, виготовлення, супроводу та експлуатації програм. Програмна документація є одним з видів технічної документації. Комплекс державних стандартів, що встановлюють взаємопов'язані правила розробки, оформлення та обігу програм і програмної документації називається «Єдина система програмної документації» (ЄСПД). 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Специфікація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 — містить інформацію щодо складу програми та документації на неї. Виконується на стадії робочого проекту. Є обов'язковим документом для програмного забезпечення і тих програмних модулів, які можуть мати самостійне застосування.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Відомість власників оригіналів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05) — містить перелік підприємств, які зберігають оригінали програмних документів.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Виконується на стадії робочого проекту. Необхідність складання документа вирішується на етапі затвердження технічного завдання (за згодою).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Текст програми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12) — містить запис програми з необхідними коментарями. Виконується на стадії робочого проекту. Необхідність — за погодженням.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Опис програми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13) — містить відомості про логічну структуру та функціонування програми. Виконується на стадії робочого проекту. Необхідність — за погодженням.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Програма та методика випробувань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51) — містить вимоги, що підлягають перевірці при випробуваннях програми, а також порядок і методи їх контролю. Виконується на стадії робочого проекту. Необхідність — за погодженням.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hyperlink r:id="rId10" w:tooltip="Технічне завдання" w:history="1">
        <w:r>
          <w:rPr>
            <w:rFonts w:ascii="Times New Roman" w:eastAsia="Times New Roman" w:hAnsi="Times New Roman" w:cs="Times New Roman"/>
            <w:b/>
            <w:bCs/>
            <w:sz w:val="28"/>
            <w:szCs w:val="28"/>
            <w:lang w:val="uk-UA"/>
          </w:rPr>
          <w:t>Технічне завдання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 — містить призначення та область застосування програми, технічні, техніко-економічні та спеціальні вимоги, що ставляться до програми, необхідні стадії і терміни розробки, види випробувань. Виконується на стадії технічного завдання і є обов'язковим документом для комплексу. Необхідність складання технічних завдань на компоненти визначається за погодженням із замовником.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Записка пояснення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81) — містить схему алгоритму, загальний опис алгоритму і/або функціонування програми, а також обґрунтування прийнятих технічних та техніко-економічних рішень. Виконується на стадії ескізного та технічного проектів. Необхідність — за погодженням.</w:t>
      </w:r>
    </w:p>
    <w:p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Експлуатаційні документи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— містить відомості для забезпечення функціонування та експлуатації програми. Виконуються на стадії робочого проекту. Необхідність — за погодженням для кожного документа окремо. Види експлуатаційних документів: 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формуляр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30) — містить основні характеристики програми, комплектність і відомості про експлуатацію програми,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опис застосування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31) — містить відомості про призначення програми, області застосування, застосовуваних методах, класі вирішуваних задач, обмеження для застосування, мінімальної конфігурації технічних засобів,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керівництво системного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програміста (код виду документа — 32) — містить відомості для перевірки, забезпечення функціонування та налаштування програми на умови конкретного застосування,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керівництво програміста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32) — містить відомості, необхідні для експлуатації програми,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керівництво оператора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33) — містить відомості для забезпечення процедури спілкування оператора з обчислювальною системою в процесі виконання програми,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опис мови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(код виду документа — 35) — містить опис синтаксису і семантики мови програмування,</w:t>
      </w:r>
    </w:p>
    <w:p>
      <w:pPr>
        <w:numPr>
          <w:ilvl w:val="1"/>
          <w:numId w:val="21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керівництво з технічного обслуговування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(код виду документа — 46) — містить відомості для застосування тестових і діагностичних програм при обслуговуванні технічних засобів.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Склад застосовуваних видів документів визначається розробником документів залежно від стадій розробки технологічної документації та типу виробництва.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ab/>
        <w:t xml:space="preserve">Коли програміст-розробник отримує в тій чи іншій формі завдання на програмування, перед ним, перед керівником проекту і перед всією проектною групою постають питання: </w:t>
      </w:r>
    </w:p>
    <w:p>
      <w:pPr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що повинно бути зроблено, крім власне програми?</w:t>
      </w:r>
    </w:p>
    <w:p>
      <w:pPr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що і як має бути оформлено у вигляді документації?</w:t>
      </w:r>
    </w:p>
    <w:p>
      <w:pPr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що передавати користувачам, а що? службі супроводу?</w:t>
      </w:r>
    </w:p>
    <w:p>
      <w:pPr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 управляти всім цим процесом?</w:t>
      </w:r>
    </w:p>
    <w:p>
      <w:pPr>
        <w:numPr>
          <w:ilvl w:val="0"/>
          <w:numId w:val="22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що має входити в саме завдання на програмування?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Крім згаданих питань є й інші.На ці та безліч інших питань колись відповідали державні стандарти на програмну документацію? комплекс стандартів 19-ї серії ГОСТ ЕСПД.</w:t>
      </w:r>
    </w:p>
    <w:p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Основу вітчизняної нормативної бази в області документування ПС становить комплекс стандартів Єдиної системи програмної документації (ЕСПД). Основна і велика частина комплексу ЕСПД була розроблена в 70-е і 80-і роки. Зараз цей комплекс являє собою систему міждержавних стандартів країн СНД (ГОСТ), що діють на території Російської Федерації на основі міждержавної угоди по стандартизації.</w:t>
      </w:r>
    </w:p>
    <w:p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Стандарти ЕСПД в основному охоплюють ту частину документації, яка створюється в процесі розробки ПС, і пов'язані, здебільшого, з документуванням функціональних характеристик ПС. Слід зазначити, що стандарти ЕСПД (ГОСТ 19) носять рекомендаційний характер. Втім, це відноситься і до всіх інших стандартів у галузі ПС (ГОСТ 34, Міжнародному стандарту ISO / IEC, та ін.).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 числа основних недоліків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ЕСПД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можна віднести: </w:t>
      </w:r>
    </w:p>
    <w:p>
      <w:pPr>
        <w:numPr>
          <w:ilvl w:val="0"/>
          <w:numId w:val="23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орієнтацію на єдину, "каскадну" модель життєвого циклу (ЖЦ) ПС;</w:t>
      </w:r>
    </w:p>
    <w:p>
      <w:pPr>
        <w:numPr>
          <w:ilvl w:val="0"/>
          <w:numId w:val="23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відсутність чітких рекомендацій щодо документування характеристик якості ПС;</w:t>
      </w:r>
    </w:p>
    <w:p>
      <w:pPr>
        <w:numPr>
          <w:ilvl w:val="0"/>
          <w:numId w:val="23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відсутність системної ув'язки з іншими діючими вітчизняними системами стандартів з ЖЦ та документування продукції в цілому, наприклад, ЕСКД;</w:t>
      </w:r>
    </w:p>
    <w:p>
      <w:pPr>
        <w:numPr>
          <w:ilvl w:val="0"/>
          <w:numId w:val="23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нечітко виражений підхід до документування ПС як товарної продукції;</w:t>
      </w:r>
    </w:p>
    <w:p>
      <w:pPr>
        <w:numPr>
          <w:ilvl w:val="0"/>
          <w:numId w:val="23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відсутність рекомендацій щодо самодокументірованію ПС, наприклад, у вигляді екранних меню і засобів оперативної допомоги користувачам ("Хелп");</w:t>
      </w:r>
    </w:p>
    <w:p>
      <w:pPr>
        <w:numPr>
          <w:ilvl w:val="0"/>
          <w:numId w:val="23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відсутність рекомендацій щодо складу, змісту та оформлення перспективних документів на ПС, узгоджених з рекомендаціями міжнародних та регіональних стандартів. </w:t>
      </w:r>
    </w:p>
    <w:p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Частина стандартів ЕСПД морально застаріла, але багато стандартів ЕСПД можуть з користю застосовуватися у практиці документування ПС. Ця позиція заснована на наступному: </w:t>
      </w:r>
    </w:p>
    <w:p>
      <w:pPr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стандарти ЕСПД вносять елемент впорядкування в процес документування ПС;</w:t>
      </w:r>
    </w:p>
    <w:p>
      <w:pPr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передбачений стандартами ЕСПД складу програмних документів зовсім не такий "жорсткий", як декому здається: стандарти дозволяють вносити в комплект документації на ПС додаткові види;</w:t>
      </w:r>
    </w:p>
    <w:p>
      <w:pPr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стандарти ЕСПД дозволяють до того ж мобільно змінювати структури і зміст встановлених видів ПД виходячи з вимог замовника і користувача.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При цьому стиль застосування стандартів може відповідати сучасному загальному стилю адаптації стандартів до специфіки проекту: замовник і керівник проекту вибирають доречне в проекті підмножина стандартів і ПД, доповнюють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вибрані ПД потрібними розділами і виключають непотрібні, прив'язують створення цих документів до тієї схеми ЖЦ, яка використовується в проекті.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Перелік документів ЕСПД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19.001-77 ЕСПД. Загальні положення.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19.101-77 ЕСПД. Види програм і програмних документів.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19.102-77 ЕСПД. Стадії розробки.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19.103-77 ЕСПД. Позначення програм і програмних документів.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19.104-78 ЕСПД. Основні написи.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19.105-78 ЕСПД. Загальні вимоги до програмних документів.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19.106-78 ЕСПД. Вимоги до програмних документів, виконаним друкованим способом.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19.201-78 ЕСПД. Технічне завдання.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19.202-78 ЕСПД. Специфікація.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19.301-79 ЕСПД. Порядок і методика випробувань.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19.401-78 ЕСПД. Текст програми.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19.402-78 ЕСПД. Опис програми.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19.404-79 ЕСПД. Пояснювальна записка.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19.501-78 ЕСПД. Формуляр.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19.502-78 ЕСПД. Опис застосування.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19.503-79 ЕСПД. Керівництво системного програміста.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19.504-79 ЕСПД. Керівництво програміста.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19.505-79 ЕСПД. Керівництво оператора.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19.506-79 ЕСПД. Опис мови.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19.508-79 ЕСПД. Керівництво з технічного обслуговування. Вимоги до змісту та оформлення.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19.604-78 ЕСПД. Правила внесення змін у програмні документи, що їх друкарським способом.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19.701-90 ЕСПД. Схеми алгоритмів, програм, даних і систем. Умовні позначення і правила виконання.</w:t>
      </w:r>
    </w:p>
    <w:p>
      <w:pPr>
        <w:numPr>
          <w:ilvl w:val="0"/>
          <w:numId w:val="25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ГОСТ 19.781-90. Забезпечення систем обробки інформації програмне.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  <w:t>Терміни та визначення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 усіх стандартів ЕСПД зупинимося тільки на тих, які можуть частіше використовуватися на практиці. Першим вкажемо стандарт, що можна використовувати для формування завдань на програмування.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ГОСТ (СТ РЕВ) 19.201-78 (1626-79). ЕСПД. Технічне завдання. Вимога до змісту та оформлення. (Перевидано в листопаді 1987р з изм.1).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Технічне завдання (ТЗ) містить сукупність вимог до ПС і може використовуватися як критерій перевірки та приймання розробленої програми. Тому досить повно складене (з урахуванням можливості внесення додаткових розділів) і прийняте замовником і розробником, ТЗ є одним з основоположних документів проекту ПС.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Технічне завдання повинно містити наступні розділи: 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введення;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підстави для розробки;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призначення розробки;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вимоги до програми або програмного виробу;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вимоги до програмної документації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техніко-економічні показники;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стадії і етапи розробки;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порядок контролю та приймання;</w:t>
      </w:r>
    </w:p>
    <w:p>
      <w:pPr>
        <w:numPr>
          <w:ilvl w:val="0"/>
          <w:numId w:val="26"/>
        </w:numPr>
        <w:tabs>
          <w:tab w:val="left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технічне завдання допускається включати додатки.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Залежно від особливостей програми або програмного вироби допускається уточнювати зміст розділів, вводити нові розділи або об'єднувати окремі з них.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Наступний стандарт ГОСТ (СТ РЕВ) 19.101-77 (1626-79). ЕСПД. Види програм і програмних документів (Перевидано в листопаді 1987р з изм.1). </w:t>
      </w:r>
    </w:p>
    <w:p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Встановлює види програм і програмних документів для обчислювальних машин, комплексів і систем незалежно від їх призначення і області застосування.</w:t>
      </w:r>
    </w:p>
    <w:p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Види програм</w:t>
      </w: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91"/>
        <w:gridCol w:w="8501"/>
      </w:tblGrid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Вид програми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Визначення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Програма, що розглядається як єдине ціле, що виконує закінчену функцію і застосовувана самостійно або в складі комплексу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Комплекс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Програма, що складається з двох або більше компонентів і (або) комплексів, що виконують взаємозв'язані функції, і вживана самостійно або в складі іншого комплексу</w:t>
            </w:r>
          </w:p>
        </w:tc>
      </w:tr>
    </w:tbl>
    <w:p>
      <w:pPr>
        <w:pStyle w:val="ae"/>
        <w:tabs>
          <w:tab w:val="left" w:pos="567"/>
        </w:tabs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Види програмних документів</w:t>
      </w: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6"/>
        <w:gridCol w:w="7536"/>
      </w:tblGrid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Вид програмного документа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Зміст програмного документа</w:t>
            </w:r>
            <w:r>
              <w:rPr>
                <w:sz w:val="28"/>
                <w:szCs w:val="28"/>
                <w:lang w:val="uk-UA"/>
              </w:rPr>
              <w:t xml:space="preserve">  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Специфікація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Склад програми та документації на неї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Відомість власників оригіналів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підприємств, на яких зберігають оригінали програмних документів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Текст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Запис програми з необхідними коментарями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про логічну структуру та функціонування програми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та методика випробувань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Вимоги, які підлягають перевірці при випробуванні програми, а також порядок і методи їх контролю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Технічне завдання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 і область застосування програми, технічні, техніко-економічні та спеціальні вимоги, які пред'являються до програми, необхідні стадії і терміни розробки, види випробувань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Пояснювальна записка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Схема алгоритму, загальний опис алгоритму та (або) функціонування програми, а також обгрунтування прийнятих технічних і техніко-економічних рішень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Експлуатаційні документи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для забезпечення функціонування та експлуатації програми</w:t>
            </w:r>
          </w:p>
        </w:tc>
      </w:tr>
    </w:tbl>
    <w:p>
      <w:pPr>
        <w:pStyle w:val="ae"/>
        <w:tabs>
          <w:tab w:val="left" w:pos="567"/>
        </w:tabs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Види експлуатаційних документів</w:t>
      </w: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84"/>
        <w:gridCol w:w="7108"/>
      </w:tblGrid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lastRenderedPageBreak/>
              <w:t>Вид експлуатаційного документа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Зміст експлуатаційного документа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Відомість експлуатаційних документів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експлуатаційних документів на програму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Формуляр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Основні характеристики програми, комплектність і відомості про експлуатацію програми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застосування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про призначення програми, області застосування, застосовувані методи, класі вирішуваних завдань, обмеження для застосування, мінімальної конфігурації технічних засобів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системного програміста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для перевірки, забезпечення функціонування та налаштування програми на умови конкретного застосування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програміста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для експлуатації програми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оператора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для забезпечення процедури спілкування оператора з обчислювальною системою в процесі виконання програми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мови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синтаксису і семантики мови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з технічного обслуговування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Відомості для застосування тестових і діагностичних програм при обслуговуванні технічних засобів</w:t>
            </w:r>
          </w:p>
        </w:tc>
      </w:tr>
    </w:tbl>
    <w:p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Залежно від способу виконання та характеру застосування програмні документи поділяються на оригінал, дублікат і копію (ГОСТ 2.102-68), призначені для розробки, супроводу та експлуатації програми.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Види програмних документів, що розробляються на різних стадіях, та їх коди</w:t>
      </w:r>
      <w:r>
        <w:rPr>
          <w:sz w:val="28"/>
          <w:szCs w:val="28"/>
          <w:lang w:val="uk-UA"/>
        </w:rPr>
        <w:t xml:space="preserve"> 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58"/>
        <w:gridCol w:w="2447"/>
        <w:gridCol w:w="1376"/>
        <w:gridCol w:w="1562"/>
        <w:gridCol w:w="1637"/>
        <w:gridCol w:w="706"/>
        <w:gridCol w:w="706"/>
      </w:tblGrid>
      <w:tr>
        <w:trPr>
          <w:tblHeader/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Код виду документа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Вид документа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gridSpan w:val="5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Стадії розробки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</w:tr>
      <w:tr>
        <w:trPr>
          <w:tblHeader/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Ескізний проект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Технічний проект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gridSpan w:val="3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Робочий проект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</w:tr>
      <w:tr>
        <w:trPr>
          <w:tblHeader/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компонент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комплекс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 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Специфікація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!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Відомість власників оригіналів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Текст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Відомість експлуатаційних документів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Формуляр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застосування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системного програміста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програміста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оператора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Опис мови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Керівництво з технічного обслуговування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та методика випробувань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Пояснювальна записка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90-99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Інші документи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?</w:t>
            </w:r>
          </w:p>
        </w:tc>
      </w:tr>
      <w:tr>
        <w:tblPrEx>
          <w:jc w:val="cente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gridAfter w:val="1"/>
          <w:tblCellSpacing w:w="0" w:type="dxa"/>
          <w:jc w:val="center"/>
        </w:trPr>
        <w:tc>
          <w:tcPr>
            <w:tcW w:w="0" w:type="auto"/>
            <w:gridSpan w:val="6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Умовні позначення:</w:t>
            </w:r>
          </w:p>
        </w:tc>
      </w:tr>
      <w:tr>
        <w:tblPrEx>
          <w:jc w:val="cente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gridAfter w:val="1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+</w:t>
            </w:r>
          </w:p>
        </w:tc>
        <w:tc>
          <w:tcPr>
            <w:tcW w:w="0" w:type="auto"/>
            <w:gridSpan w:val="5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 Документ обов'язковий;</w:t>
            </w:r>
          </w:p>
        </w:tc>
      </w:tr>
      <w:tr>
        <w:tblPrEx>
          <w:jc w:val="cente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gridAfter w:val="1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!</w:t>
            </w:r>
          </w:p>
        </w:tc>
        <w:tc>
          <w:tcPr>
            <w:tcW w:w="0" w:type="auto"/>
            <w:gridSpan w:val="5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 Документ обов'язковий для компонентів, що мають самостійне застосування;</w:t>
            </w:r>
          </w:p>
        </w:tc>
      </w:tr>
      <w:tr>
        <w:tblPrEx>
          <w:jc w:val="cente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gridAfter w:val="1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?</w:t>
            </w:r>
          </w:p>
        </w:tc>
        <w:tc>
          <w:tcPr>
            <w:tcW w:w="0" w:type="auto"/>
            <w:gridSpan w:val="5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 Необхідність складання документа визначається на етапі розробки і затвердження технічного завдання;</w:t>
            </w:r>
          </w:p>
        </w:tc>
      </w:tr>
      <w:tr>
        <w:tblPrEx>
          <w:jc w:val="cente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gridAfter w:val="1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– </w:t>
            </w:r>
          </w:p>
        </w:tc>
        <w:tc>
          <w:tcPr>
            <w:tcW w:w="0" w:type="auto"/>
            <w:gridSpan w:val="5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 Документ не складають.</w:t>
            </w:r>
          </w:p>
        </w:tc>
      </w:tr>
    </w:tbl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Допускається об'єднувати окремі види експлуатаційних документів (за винятком відомості експлуатаційних документів та формуляра). Необхідність об'єднання цих документів вказується в технічному завданні. Об'єднаному документу привласнюють найменування і позначення одного з об'єднуваних документів. У об'єднаних документах мають бути наведені відомості, які необхідно включати в кожен поєднуваний документ.</w:t>
      </w:r>
    </w:p>
    <w:p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ГОСТ 19.102-77. ЕСПД. Стадії розробки. 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Встановлює стадії розробки програм і програмної документації для обчислювальних машин, комплексів і систем незалежно від їх призначення і області застосування</w:t>
      </w:r>
    </w:p>
    <w:p>
      <w:pPr>
        <w:pStyle w:val="ae"/>
        <w:tabs>
          <w:tab w:val="left" w:pos="567"/>
        </w:tabs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Стадії розробки, етапи і зміст робіт</w:t>
      </w: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55"/>
        <w:gridCol w:w="3075"/>
        <w:gridCol w:w="5062"/>
      </w:tblGrid>
      <w:tr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lastRenderedPageBreak/>
              <w:t>Стадії розробки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Етапи робіт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>
            <w:pPr>
              <w:pStyle w:val="ae"/>
              <w:tabs>
                <w:tab w:val="left" w:pos="567"/>
              </w:tabs>
              <w:spacing w:before="0" w:beforeAutospacing="0" w:after="0" w:afterAutospacing="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Зміст робіт</w:t>
            </w:r>
            <w:r>
              <w:rPr>
                <w:sz w:val="28"/>
                <w:szCs w:val="28"/>
                <w:lang w:val="uk-UA"/>
              </w:rPr>
              <w:t> </w:t>
            </w:r>
          </w:p>
        </w:tc>
      </w:tr>
      <w:tr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Технічне завдання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Обгрунтування необхідності розробки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Постановка завдання.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Збір вихідних матеріалів.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 xml:space="preserve">Вибір і обгрунтування критеріїв ефективності та якості розроблюваної програми.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Обгрунтування необхідності проведення науково-дослідних робіт.</w:t>
            </w:r>
          </w:p>
        </w:tc>
      </w:tr>
      <w:tr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Науково-дослідні роботи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Визначення структури вхідних та вихідних даних.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Попередній вибір методів рішення завдань.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Обгрунтування доцільності застосування раніше розроблених програм.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Визначення вимог до технічних засобів.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Обгрунтування принципової можливості вирішення поставленої задачі.</w:t>
            </w:r>
          </w:p>
        </w:tc>
      </w:tr>
      <w:tr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та затвердження технічного завдання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Визначення вимог до програми.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Розробка техніко-економічного обгрунтування розробки програми.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Визначення стадій, етапів і термінів розробки програми та документації на неї.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Вибір мов програмування.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Визначення необхідності проведення науково-дослідних робіт на подальших стадіях.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Узгодження та затвердження технічного завдання.</w:t>
            </w:r>
          </w:p>
        </w:tc>
      </w:tr>
      <w:tr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Ескізний проект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ескізного проекту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Попередня розробка структури вхідних та вихідних даних.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Уточнення методів розв'язання задачі.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Розробка загального опису алгоритму розв'язання задачі.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Розробка техніко-економічного обгрунтування.</w:t>
            </w:r>
          </w:p>
        </w:tc>
      </w:tr>
      <w:tr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Затвердження ескізного проекту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пояснювальної записки.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Узгодження та затвердження ескізного проекту</w:t>
            </w:r>
          </w:p>
        </w:tc>
      </w:tr>
      <w:tr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Технічний проект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технічного проекту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Уточнення структури вхідних та вихідних даних.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Розробка алгоритму рішення задачі.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Визначення форми представлення вхідних і вихідних даних.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Визначення семантики та синтаксису мови.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Розробка структури програми.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Остаточне визначення конфігурації технічних засобів.</w:t>
            </w:r>
          </w:p>
        </w:tc>
      </w:tr>
      <w:tr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Затвердження технічного проекту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плану заходів щодо розробки та впровадження програм.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Розробка пояснювальної записки.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Узгодження та затвердження технічного проекту.</w:t>
            </w:r>
          </w:p>
        </w:tc>
      </w:tr>
      <w:tr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Робочий проект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Програмування та налагодження програми</w:t>
            </w:r>
          </w:p>
        </w:tc>
      </w:tr>
      <w:tr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програмної документації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 програмних документів відповідно до вимог ГОСТ 19.101-77.</w:t>
            </w:r>
          </w:p>
        </w:tc>
      </w:tr>
      <w:tr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Випробування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Розробка, узгодження і затвердження програми та методики випробувань.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Проведення попередніх державних, міжвідомчих, приймально-здавальних та інших видів випробувань.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Коригування програми і програмної документації за результатами випробувань.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Впровадження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Підготовка і передача програми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Підготовка і передача програми і програмної документації для супроводу і (або) виготовлення.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Оформлення і затвердження акту про передачу програми на супровід і (або) виготовлення.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Передача програми до фонду алгоритмів і програм.</w:t>
            </w:r>
          </w:p>
        </w:tc>
      </w:tr>
    </w:tbl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Примітки: </w:t>
      </w:r>
    </w:p>
    <w:p>
      <w:pPr>
        <w:numPr>
          <w:ilvl w:val="0"/>
          <w:numId w:val="27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Допускається виключати другу стадію розробки, а в технічно обгрунтованих випадках – другу і третю стадії. Необхідність проведення цих стадій вказується в технічному завданні.</w:t>
      </w:r>
    </w:p>
    <w:p>
      <w:pPr>
        <w:numPr>
          <w:ilvl w:val="0"/>
          <w:numId w:val="27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Допускається об'єднувати, виключати етапи робіт та (або) їх зміст, а також вводити інші етапи робіт за погодженням із замовником. </w:t>
      </w:r>
    </w:p>
    <w:p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ГОСТ 19.103-77 ЕСПД. Позначення програм і програмних документів 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Код країни-розробника і код організації-розробника присвоюють в установленому порядку. </w:t>
      </w:r>
    </w:p>
    <w:p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Реєстраційний номер присвоюється у порядку зростання, починаючи з 00001 до 99999, для кожної організації-розробника.</w:t>
      </w:r>
    </w:p>
    <w:p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Номер видання програми або номер редакції. номер документа даного виду, номер частини документа присвоюються у порядку зростання з 01 до 99. (Якщо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документ складається з однієї частини, то дефіс і порядковий номер частини не вказують).</w:t>
      </w:r>
    </w:p>
    <w:p>
      <w:pPr>
        <w:numPr>
          <w:ilvl w:val="0"/>
          <w:numId w:val="28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Номер редакції специфікації і відомості експлуатаційних документів на програму повинні збігатися з номером видання цієї ж програми. </w:t>
      </w:r>
    </w:p>
    <w:p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ГОСТ 19.105-78 ЕСПД. Загальні вимоги до програмних документів 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Цей стандарт встановлює загальні вимоги до оформлення програмних документів для обчислювальних машин, комплексів і систем, незалежно від їх призначення і сфери застосування і передбачених стандартами Єдиної системи програмної документації (ЕСПД) для будь-якого способу виконання документів на різних носіях даних.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Програмний документ може бути представлений на різних типах носіїв даних і складається з наступних умовних частин:</w:t>
      </w:r>
      <w:r>
        <w:rPr>
          <w:sz w:val="28"/>
          <w:szCs w:val="28"/>
          <w:lang w:val="uk-UA"/>
        </w:rPr>
        <w:br/>
        <w:t>титульної;</w:t>
      </w:r>
      <w:r>
        <w:rPr>
          <w:sz w:val="28"/>
          <w:szCs w:val="28"/>
          <w:lang w:val="uk-UA"/>
        </w:rPr>
        <w:br/>
        <w:t>інформаційної;</w:t>
      </w:r>
      <w:r>
        <w:rPr>
          <w:sz w:val="28"/>
          <w:szCs w:val="28"/>
          <w:lang w:val="uk-UA"/>
        </w:rPr>
        <w:br/>
        <w:t>основною.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Правила оформлення документа і його частин на кожному носії даних встановлюються стандартами ЕСПД на правила оформлення документів на відповідних носіях даних.</w:t>
      </w:r>
    </w:p>
    <w:p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ГОСТ 19.106-78 ЕСПД. Вимоги до програмних документів, виконаним друкованим способом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Програмні документи оформляють: </w:t>
      </w:r>
    </w:p>
    <w:p>
      <w:pPr>
        <w:numPr>
          <w:ilvl w:val="0"/>
          <w:numId w:val="29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аркушах формату А4 (ГОСТ 2.301-68) при виготовленні документа машинописним або рукописним способом;</w:t>
      </w:r>
    </w:p>
    <w:p>
      <w:pPr>
        <w:numPr>
          <w:ilvl w:val="0"/>
          <w:numId w:val="29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допускається оформлення на аркушах формату А3;</w:t>
      </w:r>
    </w:p>
    <w:p>
      <w:pPr>
        <w:numPr>
          <w:ilvl w:val="0"/>
          <w:numId w:val="29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машинного способу виконання документа допускаються відхилення розмірів листів, відповідних форматів А4 і А3, визначаються можливостями застосовуваних технічних засобів; на аркушах форматів А4 і А3, передбачаються вихідними характеристиками пристроїв виводу даних, при виготовленні документа машинним способом;</w:t>
      </w:r>
    </w:p>
    <w:p>
      <w:pPr>
        <w:numPr>
          <w:ilvl w:val="0"/>
          <w:numId w:val="29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аркушах типографических форматів при виготовленні документа друкарським способом. 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Розташування матеріалів програмного документа здійснюється в наступній послідовності: </w:t>
      </w:r>
    </w:p>
    <w:p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титульна частина:</w:t>
      </w:r>
    </w:p>
    <w:p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лист твердження (не входить в загальну кількість аркушів документа);</w:t>
      </w:r>
    </w:p>
    <w:p>
      <w:pPr>
        <w:numPr>
          <w:ilvl w:val="0"/>
          <w:numId w:val="3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титульний аркуш (перший аркуш документа); </w:t>
      </w:r>
    </w:p>
    <w:p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інформаційна частина:</w:t>
      </w:r>
    </w:p>
    <w:p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анотація;</w:t>
      </w:r>
    </w:p>
    <w:p>
      <w:pPr>
        <w:numPr>
          <w:ilvl w:val="0"/>
          <w:numId w:val="31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лист змісту; </w:t>
      </w:r>
    </w:p>
    <w:p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основна частина:</w:t>
      </w:r>
    </w:p>
    <w:p>
      <w:pPr>
        <w:numPr>
          <w:ilvl w:val="0"/>
          <w:numId w:val="3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текст документа (з малюнками, таблицями тощо)</w:t>
      </w:r>
    </w:p>
    <w:p>
      <w:pPr>
        <w:numPr>
          <w:ilvl w:val="0"/>
          <w:numId w:val="3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перелік термінів і їх визначень;</w:t>
      </w:r>
    </w:p>
    <w:p>
      <w:pPr>
        <w:numPr>
          <w:ilvl w:val="0"/>
          <w:numId w:val="3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перелік скорочень;</w:t>
      </w:r>
    </w:p>
    <w:p>
      <w:pPr>
        <w:numPr>
          <w:ilvl w:val="0"/>
          <w:numId w:val="3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додатки;</w:t>
      </w:r>
    </w:p>
    <w:p>
      <w:pPr>
        <w:numPr>
          <w:ilvl w:val="0"/>
          <w:numId w:val="3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предметний покажчик;</w:t>
      </w:r>
    </w:p>
    <w:p>
      <w:pPr>
        <w:numPr>
          <w:ilvl w:val="0"/>
          <w:numId w:val="32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перелік документів, які документів; </w:t>
      </w:r>
    </w:p>
    <w:p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частина реєстрації змін:</w:t>
      </w:r>
    </w:p>
    <w:p>
      <w:pPr>
        <w:numPr>
          <w:ilvl w:val="0"/>
          <w:numId w:val="33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лист реєстрації змін. 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Перелік термінів та їх визначень, перелік скорочень, додатки, предметних покажчик, перелік документів, які документів виконуються при необхідності.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>ГОСТ 19.402-78 ЕСПД. Опис програми</w:t>
      </w:r>
    </w:p>
    <w:p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Стандарт орієнтований на документування результуючого продукту розробки. Склад документа "Опис програми" в своїй змістовній частині може доповнюватися розділами і пунктами, почерпнутими із стандартів для інших описових документів і керівництв: ГОСТ 19.404-79 ЕСПД. Пояснювальна записка, ГОСТ 19.502-78 ЕСПД. Опис застосування, ГОСТ 19.503-79 ЕСПД. Керівництво системного програміста, ГОСТ 19.504-79 ЕСПД. Керівництво програміста, ГОСТ 19.505-79 ЕСПД. Керівництво оператора.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Є також група стандартів, що визначає вимоги до фіксації всього набору програм і ПД, які оформляються для передачі ПС. Вони породжують лаконічні документи облікового характеру і можуть бути корисні для впорядкування всього господарства програм і ПД (адже дуже часто потрібно просто навести елементарний порядок!). Є і стандарти, що визначають правила ведення документів у "господарстві" ПС.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Треба також виділити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ГОСТ 19.301-79 ЕСПД. Програма та методика випробувань</w:t>
      </w:r>
      <w:r>
        <w:rPr>
          <w:sz w:val="28"/>
          <w:szCs w:val="28"/>
          <w:lang w:val="uk-UA"/>
        </w:rPr>
        <w:t>, який (в адаптованому вигляді) може використовуватися для розробки документів планування та проведення випробувальних робіт з оцінки готовності та якості ПС.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Нарешті, останній по року прийняття стандарт.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ГОСТ 19.701-90 ЕСПД. Схеми алгоритмів, програм, даних і систем. Позначення умовні графічні та правила виконання</w:t>
      </w:r>
      <w:r>
        <w:rPr>
          <w:sz w:val="28"/>
          <w:szCs w:val="28"/>
          <w:lang w:val="uk-UA"/>
        </w:rPr>
        <w:t>. Він встановлює правила виконання схем, що використовуються для відображення різних видів задач обробки даних і засобів їх вирішення і повністю відповідає стандарту ІСО 5807:1985.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Поряд з ЕСПД на міждержавному рівні діють ще два стандарти, також відносяться до документування ПС і прийнятих не так давно, як більша частина ГОСТ ЕСПД.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ГОСТ 19781-90 Забезпечення систем обробки інформації програмне. Терміни та визначення. Розроблено заміну ГОСТ 19.781-83 та ГОСТ 19.004-80 і встановлює терміни та визначення понять у галузі програмного забезпечення (ПЗ) систем обробки даних (СОД), що застосовуються у всіх видах документації та літератури, що входять до сфери робіт зі стандартизації або використовують результати цих робіт.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ГОСТ 28388-89 Системи обробки інформації. Документи на магнітних носіях даних. Порядок виконання та обігу.</w:t>
      </w:r>
      <w:r>
        <w:rPr>
          <w:sz w:val="28"/>
          <w:szCs w:val="28"/>
          <w:lang w:val="uk-UA"/>
        </w:rPr>
        <w:t xml:space="preserve"> Поширюється не тільки на програмні, але й на конструкторські, технологічні та інші проектні документи, що їх на магнітних носіях.</w:t>
      </w:r>
    </w:p>
    <w:p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Стандарти комплексу ГОСТ 1934</w:t>
      </w:r>
    </w:p>
    <w:p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ГОСТ 34 замислювався в кінці 80-х років як всеосяжний комплекс взаємопов'язаних міжгалузевих документів. Мотиви і вийшли результати описані нижче в "особливості" ГОСТ 34. Об'єктами стандартизації є АС різних (будь-яких!) видів і всі види їх компонентів, а не тільки ПО і БД.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Комплекс розрахований на взаємодію замовника і розробника. Аналогічно ISO12207 передбачено, що замовник може розробляти АС для себе сам (якщо </w:t>
      </w:r>
      <w:r>
        <w:rPr>
          <w:sz w:val="28"/>
          <w:szCs w:val="28"/>
          <w:lang w:val="uk-UA"/>
        </w:rPr>
        <w:lastRenderedPageBreak/>
        <w:t>створить для цього спеціалізований підрозділ). Проте формулювання ГОСТ 34 не орієнтовані на настільки явне і, у відомому сенсі, симетричне відображення дій обох сторін, як ISO12207. Оскільки ГОСТ 34 в основному приділяє увагу вмісту проектних документів, розподіл дій між сторонами зазвичай робиться відштовхуючись від цього змісту.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З усіх існуючих і не реалізованих груп документів будемо грунтуватися тільки на Групі 0 "Загальні положення" і Групі 6 "Створення, функціонування та розвиток АС". Найбільш популярними можна вважати стандарти ГОСТ 34.601-90 (Стадії створення АС), ГОСТ 34.602-89 (ТЗ на створення АС) та методичні вказівки РД 50-34.698-90 (Вимоги до змісту документів). Стандарти передбачають стадії та етапи виконання робіт зі створення АС, але не передбачають наскрізних процесів у явному вигляді.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загального випадку розробки АС стадії і етапи ГОСТ 34 наведено в таблиці:</w:t>
      </w:r>
    </w:p>
    <w:tbl>
      <w:tblPr>
        <w:tblW w:w="0" w:type="auto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3"/>
        <w:gridCol w:w="7539"/>
      </w:tblGrid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 ФТ – Формування вимог до АС.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1.1. Обстеження об'єкта та обгрунтування необхідності створення АС;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1.2. Формування вимог користувача до АС;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1.3. Оформлення звіту про виконану роботу та заявки на розробку АС (тактико-технічного завдання);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 РК – Розробка концепції АС.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2.1. Вивчення об'єкта;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2.2. Проведення необхідних науково-дослідних робіт;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2.3. Розробка варіантів концепції АС, що задовольняє вимогам користувача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2.4. Оформлення звіту про виконану роботу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 ТЗ – Технічне створення АС.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3.1. Розробка та затвердження технічного завдання на завдання.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 ЕП – Ескізний проект.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4.1. Розробка попередніх проектних рішень по системі та її частин;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4.2. Розробка документації на АС і її частини.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 ТП – Технічний проект.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5.1. Розробка проектних рішень по системі та її частин;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5.2. Розробка документації на АС та її частини;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5.3. Розробка та оформлення документації на постачання виробів для комплектування АС і / або технічних вимог (технічних завдань) на їх розробку;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5.4. Розробка завдань на проектування в суміжних частинах проекту об'єкта автоматизації.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6. РД – Робоча документація.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6.1. Розробка робочої документації на систему і її частини;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6.2. Розробка або адаптація програм.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7. ВД – Введення в дію.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7.1. Підготовка об'єкта автоматизації до введення АС в дію;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7.2. Підготовка персоналу;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7.3. Комплектація АС поставляються виробами (програмними та технічними засобами, програмно-технічними комплексами, інформаційними виробами);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7.4. Будівельно-монтажні роботи;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7.5. Пуско-налагоджувальні роботи;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7.6. Проведення попередніх випробувань;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7.7. Проведення дослідної експлуатації;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7.8. Проведення приймальних випробувань.</w:t>
            </w:r>
          </w:p>
        </w:tc>
      </w:tr>
      <w:tr>
        <w:trPr>
          <w:tblCellSpacing w:w="0" w:type="dxa"/>
        </w:trPr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8. Сп – Супровід АС.</w:t>
            </w:r>
          </w:p>
        </w:tc>
        <w:tc>
          <w:tcPr>
            <w:tcW w:w="0" w:type="auto"/>
            <w:vAlign w:val="center"/>
            <w:hideMark/>
          </w:tcPr>
          <w:p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8.1. Виконання робіт відповідно до гарантійних зобов'язань;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br/>
              <w:t>8.2. Післягарантійне обслуговування.</w:t>
            </w:r>
          </w:p>
        </w:tc>
      </w:tr>
    </w:tbl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Описано зміст документів, що розробляються на кожному етапі. Це визначає потенційні можливості виділення на змістовному рівні наскрізних робіт, виконуваних паралельно або послідовно (то тобто по суті – процесів), і складових їх завдань. Такий прийом може використовуватися при побудові профілю стандартів ЖЦ проекту, що включає погоджені підмножини стандартів ГОСТ 34 і ISO12207.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Головний мотив: розв'язати проблему "вавілонської вежі". У 80-х роках склалося становище, при якому в різних галузях і сферах діяльності використовувалася погано узгоджена або неузгоджена НТД – "нормативно-технічна документація". Це ускладнювало інтеграцію систем, забезпечення їх ефективного спільного функціонування. Діяли різні комплекси і системи стандартів, що встановлюють вимоги до різних видів АС.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Практика застосування стандартів показала, що в них застосовується по суті (але не за суворими визначень) єдина система понять, є багато спільних об'єктів стандартизації, проте вимоги стандартів не узгоджені між собою, є відмінності по складу і змісту робіт, відмінності по позначенню, складу, змісту та оформлення документів та ін.. Звичайно, ця ситуація частково відображала і природне розмаїття умов розробки АС, цілей розробників, застосовуваних підходів та методик. Завдяки спільності понятійної бази стандарти залишаються застосовними в досить широкому діапазоні випадків.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Ступінь адаптивності формально визначається можливостями: </w:t>
      </w:r>
    </w:p>
    <w:p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опускати стадію ескізного проектування і об'єднувати стадії "Технічний проект" і "Робоча документація";</w:t>
      </w:r>
    </w:p>
    <w:p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опускати етапи, об'єднувати і опускати більшість документів та їх розділів;</w:t>
      </w:r>
    </w:p>
    <w:p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вводити додаткові документи, розділи документів і роботи;</w:t>
      </w:r>
    </w:p>
    <w:p>
      <w:pPr>
        <w:numPr>
          <w:ilvl w:val="0"/>
          <w:numId w:val="34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динамічно створюючи т. н. ПТЗ – приватні технічні завдання – досить гнучко формувати ЖЦ АС; як правило, цей прийом використовується на рівні великих одиниць (підсистем, комплексів), заради яких вважається виправданим створювати ПТЗ, проте немає ніяких істотних підстав сильно обмежувати цей спосіб управління ЖЦ. 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Стадії і етапи, що виконуються організаціями – учасниками робіт зі створення АС, встановлюються в договорах і технічному завданні, що близько до підходу ISO.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Введення єдиної, достатньо якісно певної термінології, наявність досить розумною класифікації робіт, документів, видів забезпечення і ін безумовно корисно. ГОСТ 34 сприяє більш повної та якісної стикуванні дійсно різних систем, що особливо важливо в умовах, коли розробляється все більше складних комплексних АС, наприклад, типу CAD-CAM, які включають до свого складу АСУТП, АСУП, САПР-конструктора, САПР-технолога, АСНИ та ін системи.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Визначено декілька важливих положень, що відображають особливості АС як об'єкта стандартизації, наприклад: "у загальному випадку АС складається з програмно-технічних (ПТК), програмно-методичних (ПМК) комплексів і окремих компонентів організаційного, технічного, програмного та інформаційного забезпечення ".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Поділ понять ПТК і АС закріплювало принцип, за яким АС є не "ІС з БД", але: </w:t>
      </w:r>
    </w:p>
    <w:p>
      <w:pPr>
        <w:numPr>
          <w:ilvl w:val="0"/>
          <w:numId w:val="35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"Організаційно-технічна система, що забезпечує вироблення рішень на основі автоматизації інформаційних процесів у різних сферах діяльності (управління, проектування, виробництво і т. д.) або їх сполученнях "(по РД 50-680-88), що особливо актуально в аспектах бізнес-реінжинірингу;</w:t>
      </w:r>
    </w:p>
    <w:p>
      <w:pPr>
        <w:numPr>
          <w:ilvl w:val="0"/>
          <w:numId w:val="35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"Система, що складається з персоналу та комплексу засобів автоматизації його діяльності, що реалізує інформаційну технологію виконання установлених функцій" (за ГОСТ 34.003-90). 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Ці визначення вказують на те, що АС – це, в першу чергу, персонал, який приймає рішення і виконує інші керуючі дії, підтриманий організаційно-технічними засобами.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Ступінь обов'язковості: колишня повна обов'язковість відсутня, матеріали ГОСТ34 по суті стали методичною підтримкою, причому частіше для замовників, що мають у стандарті набір вимог до змісту ТЗ та проведення випробувань АС. При цьому користь ГОСТ34 може багаторазово зрости у разі їх більш гнучкого використання при формуванні профілю ЖЦ АС.</w:t>
      </w:r>
    </w:p>
    <w:p>
      <w:pPr>
        <w:pStyle w:val="ae"/>
        <w:tabs>
          <w:tab w:val="left" w:pos="567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Ключовим документом взаємодії сторін є ТЗ – технічне завдання на створення АС. ТЗ є основним вихідним документом для створення АС і його прийому, ТЗ визначає найважливіші точки взаємодії замовника та розробника. При цьому ТЗ розробляє організація-розробник (за ГОСТ 34.602-89), але формально видає ТЗ розробнику замовник (по РД 50-680-88).</w:t>
      </w:r>
    </w:p>
    <w:p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Міжнародний стандарт ISO / IEC 12207: 1995-08-01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Перша редакція ISO12207 підготовлена в 1995 році об'єднаним технічним комітетом ISO / IEC JTC1 "Інформаційні технології, підкомітет SC7, проектування програмного забезпечення". За визначенням, ISO12207 – базовий стандарт процесів ЖЦ ПЗ, орієнтований на різні (будь-які) види ПЗ і типи проектів АС, куди ПЗ входить як частина. Стандарт визначає стратегію і загальний порядок у створенні та експлуатації ПЗ, він охоплює ЖЦ ПЗ від концептуалізації ідей до завершення ЖЦ.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Дуже важливі ЗАУВАЖЕННЯ СТАНДАРТУ: </w:t>
      </w:r>
    </w:p>
    <w:p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Процеси, що використовуються під час ЖЦ ПЗ, повинні бути сумісні з процесами, що використовуються під час ЖЦ АС. (Звідси зрозуміла доцільність спільного використання стандартів на АС і на ПЗ.)</w:t>
      </w:r>
    </w:p>
    <w:p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Додавання унікальних чи специфічних процесів, дій і завдань має бути обумовлено в контракті між сторонами. Контракт розуміється в широкому сенсі: від юридично оформленого контракту до неформального угоди, угода може бути визначено і єдиною стороною як завдання, поставлене самому собі.</w:t>
      </w:r>
    </w:p>
    <w:p>
      <w:pPr>
        <w:numPr>
          <w:ilvl w:val="0"/>
          <w:numId w:val="36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Стандарт принципово не містить конкретні методи дій, тим більше – заготовки рішень або документації. Він описує архітектуру процесів ЖЦ ПЗ, але не конкретизує в деталях, як реалізувати або виконати послуги та завдання, включені в процеси, не призначений для предпісиванія імені, формату або точного вмісту одержуваної документації. Рішення такого типу приймаються використовують стандарт. 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ВИЗНАЧЕННЯ СТАНДАРТУ: </w:t>
      </w:r>
    </w:p>
    <w:p>
      <w:pPr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Система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об'єднання одного або більше процесів, апаратних засобів, програмного забезпечення, обладнання і людей для забезпечення можливості задоволення певних потреб чи цілей.</w:t>
      </w:r>
    </w:p>
    <w:p>
      <w:pPr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Модель життєвого циклу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Структура, що містить процеси, дії і завдання, які здійснюються в ході розробки, функціонування та супроводу програмного продукту протягом всього життя системи, від визначення вимог до завершення її використання. 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Безліч процесів і завдань сконструйовано так, що можлива їх адаптація відповідно до проектів ПЗ. Процес адаптації є процесом винятку процесів, видів діяльності та завдань, не застосовних в конкретному проекті. Ступінь адаптивності: максимальна</w:t>
      </w:r>
    </w:p>
    <w:p>
      <w:pPr>
        <w:numPr>
          <w:ilvl w:val="0"/>
          <w:numId w:val="37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Вимога кваліфікації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Набір критеріїв або умов (кваліфікаційні вимоги), які повинні бути задоволені для того, щоб кваліфікувати програмний продукт як підпорядкований (задовольняє умовам) його специфікаціям і готовий для використання в цільової навколишньому середовищу. 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Стандарт не наказує конкретну модель ЖЦ або метод розробки ПЗ, але визначає, що сторони-учасниці використання стандарту відповідальні за вибір моделі ЖЦ для проекту ПЗ, за адаптацію процесів і завдань стандарту до цієї моделі, за вибір та застосування методів розробки ПЗ, за виконання дій і завдань, що підходять для проекту ПЗ.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Стандарт ISO12207 рівносильно орієнтований на організацію дій кожної з двох сторін: постачальник (розробник) і покупець (користувач); може бути в рівній мірі застосований, коли обидві сторони – з однієї організації.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Кожен процес ЖЦ розділений на набір дій, кожна дія – на набір завдань. Дуже важлива відмінність ISO: кожен процес, дія або завдання ініціюється і виконується іншим процесом в міру необхідності, причому немає заздалегідь визначених послідовностей (природно, при збереженні логіки зв'язків за вихідними відомостями завдань і т. п.).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стандарті ISO12207 описані: </w:t>
      </w:r>
    </w:p>
    <w:p>
      <w:pPr>
        <w:numPr>
          <w:ilvl w:val="0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 основних процесів ЖЦ ПЗ: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придбання. Визначає дії підприємства-покупця, яке набуває АС, програмний продукт або сервіс ПЗ.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постачання. Визначає дії підприємства-постачальника, яке постачає покупця системою, програмним продуктом або сервісом ПЗ.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розробки. Визначає дії підприємства-розробника, яке розробляє принцип побудови програмного виробу та програмний продукт.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функціонування. Визначає дії підприємства-оператора, яке забезпечує обслуговування системи (а не тільки ПЗ) у процесі її функціонування в інтересах користувачів. На відміну від дій, які визначаються розробником в інструкціях з експлуатації (ця діяльність розробника передбачена у всіх трьох розглянутих стандартах), визначаються дії оператора з консультування користувачів, отримання зворотного зв'язку та інші, які він планує сам і бере на себе відповідно обов'язки.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Процес супроводу. Визначає дії персоналу супроводу, який забезпечує супровід програмного продукту, що являє собою управління модифікаціями програмного продукту, підтримку його поточного стану та функціональної придатності, включає в себе інсталяцію та видалення програмного виробу на обчислювальній системі. </w:t>
      </w:r>
    </w:p>
    <w:p>
      <w:pPr>
        <w:numPr>
          <w:ilvl w:val="0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8 допоміжних процесів, які підтримують реалізацію іншого процесу, будучи невід'ємною частиною всього ЖЦ програмного виробу, і забезпечують належну якість проекту ПЗ: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вирішення проблем;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документування;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управління конфігурацією;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гарантування якості, який використовує результати інших процесів групи забезпечення якості, до якої входять:</w:t>
      </w:r>
    </w:p>
    <w:p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numPr>
          <w:ilvl w:val="2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верифікації;</w:t>
      </w:r>
    </w:p>
    <w:p>
      <w:pPr>
        <w:numPr>
          <w:ilvl w:val="2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атестації;</w:t>
      </w:r>
    </w:p>
    <w:p>
      <w:pPr>
        <w:numPr>
          <w:ilvl w:val="2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спільної оцінки;</w:t>
      </w:r>
    </w:p>
    <w:p>
      <w:pPr>
        <w:numPr>
          <w:ilvl w:val="2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Процес аудиту. </w:t>
      </w:r>
    </w:p>
    <w:p>
      <w:pPr>
        <w:numPr>
          <w:ilvl w:val="0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 організаційних процесу: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управління;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створення інфраструктури;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Процес удосконалення;</w:t>
      </w:r>
    </w:p>
    <w:p>
      <w:pPr>
        <w:numPr>
          <w:ilvl w:val="1"/>
          <w:numId w:val="3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Процес навчання. 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До них примикає особливий Процес адаптації, який визначає основні дії, необхідні для адаптації стандарту до умов конкретного проекту.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Під процесом удосконалення тут розуміється не удосконалення АС або ПЗ, а поліпшення самих процесів придбання, розробки, гарантування якості і т. п., реально здійснюваних в організації.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Яких-небудь етапів, фаз, стадій не передбачено, що дає описувану нижчий ступінь адаптивності.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"Динамічний" характер стандарту визначається способом визначення послідовності виконання процесів і завдань, при якому один процес при необхідності викликає інший або його частину.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Приклади: </w:t>
      </w:r>
    </w:p>
    <w:p>
      <w:pPr>
        <w:numPr>
          <w:ilvl w:val="0"/>
          <w:numId w:val="3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Процесу придбання в частині аналізу і фіксації вимог до системи або програмного забезпечення може викликати виконання відповідних завдань Процесу розробки;</w:t>
      </w:r>
    </w:p>
    <w:p>
      <w:pPr>
        <w:numPr>
          <w:ilvl w:val="0"/>
          <w:numId w:val="3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Процесі поставки постачальник повинен керувати субпідрядниками згідно Процесу придбання і виконувати верифікацію і атестацію з відповідним процесам;</w:t>
      </w:r>
    </w:p>
    <w:p>
      <w:pPr>
        <w:numPr>
          <w:ilvl w:val="0"/>
          <w:numId w:val="39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супровід може вимагати розвитку системи, ПЗ, що виконується за Процесу розробки. 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Такий характер дозволяє реалізовувати будь-яку модель ЖЦ.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При виконанні аналізу вимог до ПЗ передбачено 11 класів характеристик якості, які використовуються пізніше при гарантуванні якості.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 цьому розробник повинен встановити і документувати як вимоги до програмного забезпечення: 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Функціональні і можливі специфікації, включаючи виконання, фізичні характеристики і умови середовища експлуатації, при яких одиниця програмного забезпечення повинна бути виконана;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Зовнішні зв'язки (інтерфейси) з одиницею програмного забезпечення;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Вимоги кваліфікації;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Специфікації надійності, включаючи специфікації, пов'язані з методами функціонування і супроводу, впливу навколишнього середовища та ймовірністю травми персоналу;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Специфікації захищеності,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Людські фактори специфікацій з інженерної психології (ергономіці), включаючи пов'язані з ручним управлінням, взаємодією людини і устаткування,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обмеженнями на персонал та областями, які потребують в концентрованому людської уваги, які є чутливими до помилок людини і навчання;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Визначення даних і вимог бази даних;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Установчі та приймальні вимоги поставляється програмного продукту в місцях функціонування та супроводу (експлуатації);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Документація користувача;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Робота користувача та вимоги виконання;</w:t>
      </w:r>
    </w:p>
    <w:p>
      <w:pPr>
        <w:numPr>
          <w:ilvl w:val="0"/>
          <w:numId w:val="40"/>
        </w:numPr>
        <w:tabs>
          <w:tab w:val="left" w:pos="567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Вимоги сервісу користувача. 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Ці та аналогічні характеристики добре кореспондуються з характеристиками АС, передбачуваними в ГОСТ 34 по видам забезпечення системи.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Стандарт містить гранично мало описів, спрямованих на проектування БД. Це можна вважати виправданим, тому що різні системи і різні прикладні комплекси ПЗ не тільки використовувати вельми специфічні типи БД, але і не використовувати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Отже, ISO 12207 має набір процесів, дій і завдань, що охоплює найбільш широкий спектр можливих ситуацій при максимальній адаптованості.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Він показує приклад того, як повинен будуватися добре організований стандарт, що містить мінімум обмежень (принцип "немає однакових проектів"). При цьому детальні визначення процесів, форм документів і т. п. доцільно виносити в різні функціональні стандарти, відомчі нормативні документи або фірмові методики, які можуть бути використані або не використані в конкретному проекті.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З цієї причини центральним стандартом, положення якого беруться за початковий "стрижневий" набір положень у процесі побудови профілю стандартів ЖЦ для конкретного проекту, корисно розглядати саме ISO12207. Цей "стрижень" може задавати модель ЖЦ ПЗ і АС, принципову схему гарантування якості, модель управління проектом</w:t>
      </w:r>
    </w:p>
    <w:p>
      <w:pPr>
        <w:pStyle w:val="ae"/>
        <w:tabs>
          <w:tab w:val="left" w:pos="567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Практики використовують ще один шлях: самі перекладають і використовують у своїх проектах сучасні стандарти на організацію ЖЦ ПС та їх документування. Але цей шлях страждає як мінімум тим недоліком, що різні переклади та адаптації стандартів, зроблені різними розробниками і замовниками, будуть відрізнятися масою деталей. Ці відмінності неминуче стосуються не тільки найменувань, але і їх змістовних визначень, вводяться і використовуються у стандартах. Таким чином, на цьому шляху неминуче постійне виникнення плутанини, а це прямо протилежно цілям не лише стандартів, але і будь-яких грамотних методичних документів.</w:t>
      </w:r>
    </w:p>
    <w:p>
      <w:pPr>
        <w:pStyle w:val="1"/>
        <w:rPr>
          <w:b w:val="0"/>
        </w:rPr>
      </w:pPr>
      <w:r>
        <w:rPr>
          <w:lang w:val="uk-UA"/>
        </w:rPr>
        <w:t xml:space="preserve">За матеріалами: </w:t>
      </w:r>
      <w:r>
        <w:rPr>
          <w:b w:val="0"/>
        </w:rPr>
        <w:t>Підготовка документації на програмні засоби (ПС) у відповідності з наявними ГОСТами (документація) – URL: http://easy-code.com.ua/2011/02/pidgotovka-dokumentaci%D1%97-na-programni-zasobi-ps-u-vidpovidnosti-z-nayavnimi-gostami-dokumentaciya/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>
      <w:headerReference w:type="default" r:id="rId11"/>
      <w:footerReference w:type="default" r:id="rId12"/>
      <w:pgSz w:w="11906" w:h="16838"/>
      <w:pgMar w:top="680" w:right="680" w:bottom="993" w:left="1134" w:header="142" w:footer="4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9629169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rPr>
        <w:lang w:val="uk-UA"/>
      </w:rPr>
    </w:pPr>
    <w:r>
      <w:rPr>
        <w:rFonts w:ascii="Times New Roman" w:eastAsia="Times New Roman" w:hAnsi="Times New Roman" w:cs="Times New Roman"/>
        <w:sz w:val="24"/>
        <w:szCs w:val="24"/>
        <w:lang w:val="uk-UA" w:eastAsia="ru-RU"/>
      </w:rPr>
      <w:t>Конструювання програмного забезпечення. Лабораторна робота №1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2"/>
    <w:lvl w:ilvl="0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" w15:restartNumberingAfterBreak="0">
    <w:nsid w:val="011B27F8"/>
    <w:multiLevelType w:val="multilevel"/>
    <w:tmpl w:val="064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D6C0F"/>
    <w:multiLevelType w:val="multilevel"/>
    <w:tmpl w:val="B2B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6254"/>
    <w:multiLevelType w:val="multilevel"/>
    <w:tmpl w:val="1E2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F5F3D"/>
    <w:multiLevelType w:val="multilevel"/>
    <w:tmpl w:val="F37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D5481"/>
    <w:multiLevelType w:val="hybridMultilevel"/>
    <w:tmpl w:val="540E25DA"/>
    <w:lvl w:ilvl="0" w:tplc="5EF69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3A64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861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CC02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12FC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060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A2A1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48D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E26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9117177"/>
    <w:multiLevelType w:val="multilevel"/>
    <w:tmpl w:val="4A1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3943"/>
    <w:multiLevelType w:val="multilevel"/>
    <w:tmpl w:val="F31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B2D6A"/>
    <w:multiLevelType w:val="multilevel"/>
    <w:tmpl w:val="CB6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16D3F"/>
    <w:multiLevelType w:val="hybridMultilevel"/>
    <w:tmpl w:val="CC602784"/>
    <w:lvl w:ilvl="0" w:tplc="3D0EC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06B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C87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10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864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183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26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B43E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78D7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4C8012E"/>
    <w:multiLevelType w:val="multilevel"/>
    <w:tmpl w:val="E61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B618D"/>
    <w:multiLevelType w:val="multilevel"/>
    <w:tmpl w:val="2E2E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01C7F"/>
    <w:multiLevelType w:val="multilevel"/>
    <w:tmpl w:val="EE6C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3D2879"/>
    <w:multiLevelType w:val="multilevel"/>
    <w:tmpl w:val="E46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9786D"/>
    <w:multiLevelType w:val="hybridMultilevel"/>
    <w:tmpl w:val="8F809F10"/>
    <w:lvl w:ilvl="0" w:tplc="D4123D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ED1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F2C1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300B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5C0D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2E5C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C47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E04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21E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D08AB"/>
    <w:multiLevelType w:val="multilevel"/>
    <w:tmpl w:val="975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54BFA"/>
    <w:multiLevelType w:val="hybridMultilevel"/>
    <w:tmpl w:val="E01AFEF8"/>
    <w:lvl w:ilvl="0" w:tplc="1A2C7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A45C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EB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40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60A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EEA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CD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C0F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9AB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EB46002"/>
    <w:multiLevelType w:val="multilevel"/>
    <w:tmpl w:val="107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A7F66"/>
    <w:multiLevelType w:val="hybridMultilevel"/>
    <w:tmpl w:val="A32E9FC2"/>
    <w:lvl w:ilvl="0" w:tplc="5E82F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685F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22D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AAB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E0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10BE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84A0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DC5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267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7A60E8D"/>
    <w:multiLevelType w:val="multilevel"/>
    <w:tmpl w:val="BF7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A1FCF"/>
    <w:multiLevelType w:val="hybridMultilevel"/>
    <w:tmpl w:val="14B85C80"/>
    <w:lvl w:ilvl="0" w:tplc="33083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CD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0F2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7ED7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D42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6AAE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F6FE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A7C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D045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ACB4783"/>
    <w:multiLevelType w:val="multilevel"/>
    <w:tmpl w:val="443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B2539"/>
    <w:multiLevelType w:val="hybridMultilevel"/>
    <w:tmpl w:val="8ABE40DC"/>
    <w:lvl w:ilvl="0" w:tplc="A1968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E43A0E">
      <w:start w:val="3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D2D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9E40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5E6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2A5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14B3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6E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A6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CB0756E"/>
    <w:multiLevelType w:val="multilevel"/>
    <w:tmpl w:val="ABFC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F0257"/>
    <w:multiLevelType w:val="multilevel"/>
    <w:tmpl w:val="E58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916AD"/>
    <w:multiLevelType w:val="multilevel"/>
    <w:tmpl w:val="48C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82739"/>
    <w:multiLevelType w:val="hybridMultilevel"/>
    <w:tmpl w:val="F45CF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71B29"/>
    <w:multiLevelType w:val="hybridMultilevel"/>
    <w:tmpl w:val="31BA0354"/>
    <w:lvl w:ilvl="0" w:tplc="0FD001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A276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D81B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F0A6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F2A3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DCB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D09F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2A71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305D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DA6A08"/>
    <w:multiLevelType w:val="hybridMultilevel"/>
    <w:tmpl w:val="105C1A9C"/>
    <w:lvl w:ilvl="0" w:tplc="4F98C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250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8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6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2255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9E1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DCC1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F22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386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7042B3A"/>
    <w:multiLevelType w:val="hybridMultilevel"/>
    <w:tmpl w:val="1C7058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B60600"/>
    <w:multiLevelType w:val="multilevel"/>
    <w:tmpl w:val="CD0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F2398"/>
    <w:multiLevelType w:val="multilevel"/>
    <w:tmpl w:val="4DE2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FE3F59"/>
    <w:multiLevelType w:val="multilevel"/>
    <w:tmpl w:val="16C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D3C04"/>
    <w:multiLevelType w:val="hybridMultilevel"/>
    <w:tmpl w:val="370672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8570AA"/>
    <w:multiLevelType w:val="multilevel"/>
    <w:tmpl w:val="06B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5315C"/>
    <w:multiLevelType w:val="multilevel"/>
    <w:tmpl w:val="BD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E3640"/>
    <w:multiLevelType w:val="hybridMultilevel"/>
    <w:tmpl w:val="E35CC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840E3"/>
    <w:multiLevelType w:val="hybridMultilevel"/>
    <w:tmpl w:val="F91C304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39D40DC"/>
    <w:multiLevelType w:val="hybridMultilevel"/>
    <w:tmpl w:val="0CA219AA"/>
    <w:lvl w:ilvl="0" w:tplc="E56E6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18B7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A02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926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0A5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16B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DA2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50C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0A9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4351B79"/>
    <w:multiLevelType w:val="multilevel"/>
    <w:tmpl w:val="5F1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544A4"/>
    <w:multiLevelType w:val="multilevel"/>
    <w:tmpl w:val="1BE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77FBC"/>
    <w:multiLevelType w:val="multilevel"/>
    <w:tmpl w:val="59C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B296E"/>
    <w:multiLevelType w:val="multilevel"/>
    <w:tmpl w:val="204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14406"/>
    <w:multiLevelType w:val="multilevel"/>
    <w:tmpl w:val="A80A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947C1C"/>
    <w:multiLevelType w:val="hybridMultilevel"/>
    <w:tmpl w:val="22FEDA94"/>
    <w:lvl w:ilvl="0" w:tplc="D83E5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70A9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04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0C3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C63D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FEF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264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49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1EA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7A0264D7"/>
    <w:multiLevelType w:val="multilevel"/>
    <w:tmpl w:val="98F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26E13"/>
    <w:multiLevelType w:val="hybridMultilevel"/>
    <w:tmpl w:val="5824D3E0"/>
    <w:lvl w:ilvl="0" w:tplc="B832FE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41E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F0A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E29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03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C2F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C89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C8FF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8AC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DBB4B29"/>
    <w:multiLevelType w:val="hybridMultilevel"/>
    <w:tmpl w:val="494073CC"/>
    <w:lvl w:ilvl="0" w:tplc="E82A3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541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AA7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E66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E41C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726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E0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04B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60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F053ED1"/>
    <w:multiLevelType w:val="hybridMultilevel"/>
    <w:tmpl w:val="A2703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D8460F"/>
    <w:multiLevelType w:val="multilevel"/>
    <w:tmpl w:val="E6A8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36"/>
  </w:num>
  <w:num w:numId="3">
    <w:abstractNumId w:val="0"/>
  </w:num>
  <w:num w:numId="4">
    <w:abstractNumId w:val="20"/>
  </w:num>
  <w:num w:numId="5">
    <w:abstractNumId w:val="33"/>
  </w:num>
  <w:num w:numId="6">
    <w:abstractNumId w:val="28"/>
  </w:num>
  <w:num w:numId="7">
    <w:abstractNumId w:val="22"/>
  </w:num>
  <w:num w:numId="8">
    <w:abstractNumId w:val="16"/>
  </w:num>
  <w:num w:numId="9">
    <w:abstractNumId w:val="14"/>
  </w:num>
  <w:num w:numId="10">
    <w:abstractNumId w:val="38"/>
  </w:num>
  <w:num w:numId="11">
    <w:abstractNumId w:val="18"/>
  </w:num>
  <w:num w:numId="12">
    <w:abstractNumId w:val="44"/>
  </w:num>
  <w:num w:numId="13">
    <w:abstractNumId w:val="27"/>
  </w:num>
  <w:num w:numId="14">
    <w:abstractNumId w:val="46"/>
  </w:num>
  <w:num w:numId="15">
    <w:abstractNumId w:val="47"/>
  </w:num>
  <w:num w:numId="16">
    <w:abstractNumId w:val="9"/>
  </w:num>
  <w:num w:numId="17">
    <w:abstractNumId w:val="5"/>
  </w:num>
  <w:num w:numId="18">
    <w:abstractNumId w:val="37"/>
  </w:num>
  <w:num w:numId="19">
    <w:abstractNumId w:val="26"/>
  </w:num>
  <w:num w:numId="20">
    <w:abstractNumId w:val="19"/>
  </w:num>
  <w:num w:numId="21">
    <w:abstractNumId w:val="21"/>
  </w:num>
  <w:num w:numId="22">
    <w:abstractNumId w:val="4"/>
  </w:num>
  <w:num w:numId="23">
    <w:abstractNumId w:val="13"/>
  </w:num>
  <w:num w:numId="24">
    <w:abstractNumId w:val="32"/>
  </w:num>
  <w:num w:numId="25">
    <w:abstractNumId w:val="11"/>
  </w:num>
  <w:num w:numId="26">
    <w:abstractNumId w:val="2"/>
  </w:num>
  <w:num w:numId="27">
    <w:abstractNumId w:val="31"/>
  </w:num>
  <w:num w:numId="28">
    <w:abstractNumId w:val="3"/>
  </w:num>
  <w:num w:numId="29">
    <w:abstractNumId w:val="17"/>
  </w:num>
  <w:num w:numId="30">
    <w:abstractNumId w:val="1"/>
  </w:num>
  <w:num w:numId="31">
    <w:abstractNumId w:val="41"/>
  </w:num>
  <w:num w:numId="32">
    <w:abstractNumId w:val="25"/>
  </w:num>
  <w:num w:numId="33">
    <w:abstractNumId w:val="8"/>
  </w:num>
  <w:num w:numId="34">
    <w:abstractNumId w:val="15"/>
  </w:num>
  <w:num w:numId="35">
    <w:abstractNumId w:val="34"/>
  </w:num>
  <w:num w:numId="36">
    <w:abstractNumId w:val="49"/>
  </w:num>
  <w:num w:numId="37">
    <w:abstractNumId w:val="43"/>
  </w:num>
  <w:num w:numId="38">
    <w:abstractNumId w:val="12"/>
  </w:num>
  <w:num w:numId="39">
    <w:abstractNumId w:val="30"/>
  </w:num>
  <w:num w:numId="40">
    <w:abstractNumId w:val="23"/>
  </w:num>
  <w:num w:numId="41">
    <w:abstractNumId w:val="42"/>
  </w:num>
  <w:num w:numId="42">
    <w:abstractNumId w:val="24"/>
  </w:num>
  <w:num w:numId="43">
    <w:abstractNumId w:val="6"/>
  </w:num>
  <w:num w:numId="44">
    <w:abstractNumId w:val="40"/>
  </w:num>
  <w:num w:numId="45">
    <w:abstractNumId w:val="7"/>
  </w:num>
  <w:num w:numId="46">
    <w:abstractNumId w:val="45"/>
  </w:num>
  <w:num w:numId="47">
    <w:abstractNumId w:val="39"/>
  </w:num>
  <w:num w:numId="48">
    <w:abstractNumId w:val="10"/>
  </w:num>
  <w:num w:numId="49">
    <w:abstractNumId w:val="35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9FCB82-612A-4C81-B829-60697E35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1">
    <w:name w:val="Заголовок №2_"/>
    <w:link w:val="22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22">
    <w:name w:val="Заголовок №2"/>
    <w:basedOn w:val="a"/>
    <w:link w:val="21"/>
    <w:pPr>
      <w:widowControl w:val="0"/>
      <w:shd w:val="clear" w:color="auto" w:fill="FFFFFF"/>
      <w:spacing w:after="0" w:line="240" w:lineRule="atLeast"/>
      <w:ind w:firstLine="540"/>
      <w:outlineLvl w:val="1"/>
    </w:pPr>
    <w:rPr>
      <w:rFonts w:ascii="Times New Roman" w:hAnsi="Times New Roman" w:cs="Times New Roman"/>
      <w:b/>
      <w:bCs/>
    </w:rPr>
  </w:style>
  <w:style w:type="character" w:customStyle="1" w:styleId="ab">
    <w:name w:val="Основной текст Знак"/>
    <w:link w:val="ac"/>
    <w:rPr>
      <w:rFonts w:ascii="Times New Roman" w:hAnsi="Times New Roman" w:cs="Times New Roman"/>
      <w:sz w:val="20"/>
      <w:szCs w:val="20"/>
      <w:shd w:val="clear" w:color="auto" w:fill="FFFFFF"/>
    </w:rPr>
  </w:style>
  <w:style w:type="paragraph" w:styleId="ac">
    <w:name w:val="Body Text"/>
    <w:basedOn w:val="a"/>
    <w:link w:val="ab"/>
    <w:pPr>
      <w:widowControl w:val="0"/>
      <w:shd w:val="clear" w:color="auto" w:fill="FFFFFF"/>
      <w:spacing w:after="0" w:line="245" w:lineRule="exact"/>
      <w:ind w:hanging="340"/>
    </w:pPr>
    <w:rPr>
      <w:rFonts w:ascii="Times New Roman" w:hAnsi="Times New Roman" w:cs="Times New Roman"/>
      <w:sz w:val="20"/>
      <w:szCs w:val="20"/>
    </w:rPr>
  </w:style>
  <w:style w:type="character" w:customStyle="1" w:styleId="11">
    <w:name w:val="Основной текст Знак1"/>
    <w:basedOn w:val="a0"/>
    <w:uiPriority w:val="99"/>
    <w:semiHidden/>
  </w:style>
  <w:style w:type="character" w:customStyle="1" w:styleId="20">
    <w:name w:val="Заголовок 2 Знак"/>
    <w:basedOn w:val="a0"/>
    <w:link w:val="2"/>
    <w:semiHidden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longtext">
    <w:name w:val="long_text"/>
    <w:basedOn w:val="a0"/>
  </w:style>
  <w:style w:type="character" w:styleId="ad">
    <w:name w:val="Strong"/>
    <w:basedOn w:val="a0"/>
    <w:uiPriority w:val="22"/>
    <w:qFormat/>
    <w:rPr>
      <w:b/>
      <w:bCs/>
    </w:rPr>
  </w:style>
  <w:style w:type="paragraph" w:customStyle="1" w:styleId="flleft">
    <w:name w:val="fl_lef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w-headline">
    <w:name w:val="mw-headline"/>
    <w:basedOn w:val="a0"/>
  </w:style>
  <w:style w:type="character" w:customStyle="1" w:styleId="reference-text">
    <w:name w:val="reference-text"/>
    <w:basedOn w:val="a0"/>
  </w:style>
  <w:style w:type="paragraph" w:styleId="ae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foot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89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059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62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975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106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18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2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25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292">
          <w:marLeft w:val="3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2442">
          <w:marLeft w:val="3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9668">
          <w:marLeft w:val="3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7170">
          <w:marLeft w:val="3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7770">
          <w:marLeft w:val="36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81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3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415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42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8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62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48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4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3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12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70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2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3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634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62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659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484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025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1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365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94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46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0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49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50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85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64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105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298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934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184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9171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038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154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824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864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17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568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9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484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2711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527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322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09572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buv.gov.u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uk.wikipedia.org/wiki/%D0%A2%D0%B5%D1%85%D0%BD%D1%96%D1%87%D0%BD%D0%B5_%D0%B7%D0%B0%D0%B2%D0%B4%D0%B0%D0%BD%D0%BD%D1%8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buv.gov.ua/node/146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25</Pages>
  <Words>38167</Words>
  <Characters>21756</Characters>
  <Application>Microsoft Office Word</Application>
  <DocSecurity>0</DocSecurity>
  <Lines>181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.</vt:lpstr>
    </vt:vector>
  </TitlesOfParts>
  <Company>Home</Company>
  <LinksUpToDate>false</LinksUpToDate>
  <CharactersWithSpaces>59804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Tanya</dc:creator>
  <cp:lastModifiedBy>Tanya</cp:lastModifiedBy>
  <cp:revision>6</cp:revision>
  <dcterms:created xsi:type="dcterms:W3CDTF">2026-09-07T16:48:00Z</dcterms:created>
  <dcterms:modified xsi:type="dcterms:W3CDTF">2026-09-08T10:06:00Z</dcterms:modified>
</cp:coreProperties>
</file>