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eastAsia="Times New Roman"/>
          <w:b w:val="0"/>
          <w:i w:val="0"/>
          <w:smallCaps/>
          <w:color w:val="5A5A5A"/>
          <w:sz w:val="18"/>
        </w:rPr>
        <w:t>METHODS</w:t>
      </w:r>
    </w:p>
    <w:p>
      <w:pPr>
        <w:spacing w:before="0" w:after="120"/>
        <w:pBdr>
          <w:bottom w:val="single" w:sz="12" w:space="1" w:color="000000"/>
        </w:pBdr>
      </w:pPr>
    </w:p>
    <w:p>
      <w:pPr>
        <w:spacing w:after="120"/>
        <w:jc w:val="left"/>
      </w:pPr>
      <w:r>
        <w:rPr>
          <w:rFonts w:ascii="Times New Roman" w:hAnsi="Times New Roman" w:eastAsia="Times New Roman"/>
          <w:b/>
          <w:i w:val="0"/>
          <w:sz w:val="32"/>
        </w:rPr>
        <w:t>Hop-depth spectra, scaling exponent, and entropy of literary syntax</w:t>
      </w:r>
    </w:p>
    <w:p>
      <w:pPr>
        <w:spacing w:before="0" w:after="200"/>
        <w:pBdr>
          <w:bottom w:val="single" w:sz="6" w:space="1" w:color="000000"/>
        </w:pBdr>
      </w:pPr>
    </w:p>
    <w:p>
      <w:pPr>
        <w:spacing w:after="160" w:before="0" w:line="276" w:lineRule="auto"/>
        <w:jc w:val="both"/>
      </w:pPr>
      <w:r>
        <w:rPr>
          <w:rFonts w:ascii="Times New Roman" w:hAnsi="Times New Roman" w:eastAsia="Times New Roman"/>
          <w:b/>
          <w:i w:val="0"/>
          <w:sz w:val="22"/>
        </w:rPr>
        <w:t xml:space="preserve">Corpus construction and sampling. </w:t>
      </w:r>
      <w:r>
        <w:rPr>
          <w:rFonts w:ascii="Times New Roman" w:hAnsi="Times New Roman" w:eastAsia="Times New Roman"/>
          <w:b w:val="0"/>
          <w:i w:val="0"/>
          <w:sz w:val="22"/>
        </w:rPr>
        <w:t xml:space="preserve">We selected 267 public-domain books in nine European languages from Project Gutenberg [1]: English (98), French (27), Spanish (26), German (26), Italian (25), Polish (19), Portuguese (19), Swedish (14), and Finnish (13). We downloaded each book as plain text (.txt). After we removed the Project Gutenberg licence banners, we discarded any file shorter than </w:t>
      </w:r>
      <m:oMath>
        <m:sSub>
          <m:e>
            <m:r>
              <m:rPr>
                <m:sty m:val="i"/>
              </m:rPr>
              <m:t xml:space="preserve">C</m:t>
            </m:r>
          </m:e>
          <m:sub>
            <m:r>
              <m:rPr>
                <m:sty m:val="p"/>
              </m:rPr>
              <m:t xml:space="preserve">min</m:t>
            </m:r>
          </m:sub>
        </m:sSub>
        <m:r>
          <m:rPr>
            <m:sty m:val="p"/>
          </m:rPr>
          <m:t xml:space="preserve"> = 500</m:t>
        </m:r>
      </m:oMath>
      <w:r>
        <w:rPr>
          <w:rFonts w:ascii="Times New Roman" w:hAnsi="Times New Roman" w:eastAsia="Times New Roman"/>
          <w:b w:val="0"/>
          <w:i w:val="0"/>
          <w:sz w:val="22"/>
        </w:rPr>
        <w:t xml:space="preserve"> characters. We kept a book only when spaCy (a grammatical parser that marks each word and the word it depends on) returned at least </w:t>
      </w:r>
      <m:oMath>
        <m:sSub>
          <m:e>
            <m:r>
              <m:rPr>
                <m:sty m:val="i"/>
              </m:rPr>
              <m:t xml:space="preserve">N</m:t>
            </m:r>
          </m:e>
          <m:sub>
            <m:r>
              <m:rPr>
                <m:sty m:val="p"/>
              </m:rPr>
              <m:t xml:space="preserve">content</m:t>
            </m:r>
          </m:sub>
        </m:sSub>
        <m:r>
          <m:rPr>
            <m:sty m:val="p"/>
          </m:rPr>
          <m:t xml:space="preserve"> = 10,000</m:t>
        </m:r>
      </m:oMath>
      <w:r>
        <w:rPr>
          <w:rFonts w:ascii="Times New Roman" w:hAnsi="Times New Roman" w:eastAsia="Times New Roman"/>
          <w:b w:val="0"/>
          <w:i w:val="0"/>
          <w:sz w:val="22"/>
        </w:rPr>
        <w:t xml:space="preserve"> content tokens (words that are not punctuation, spaces, or unreadable symbols). We curated English titles across novels, drama, verse, and non-fiction, and we removed duplicates. We dropped two Spanish books whose mean hop-depth was 5 or greater, because those parses had failed.</w:t>
      </w:r>
    </w:p>
    <w:p>
      <w:pPr>
        <w:spacing w:after="160" w:before="0" w:line="276" w:lineRule="auto"/>
        <w:jc w:val="both"/>
      </w:pPr>
      <w:r>
        <w:rPr>
          <w:rFonts w:ascii="Times New Roman" w:hAnsi="Times New Roman" w:eastAsia="Times New Roman"/>
          <w:b/>
          <w:i w:val="0"/>
          <w:sz w:val="22"/>
        </w:rPr>
        <w:t xml:space="preserve">Prior text-to-series encodings. </w:t>
      </w:r>
      <w:r>
        <w:rPr>
          <w:rFonts w:ascii="Times New Roman" w:hAnsi="Times New Roman" w:eastAsia="Times New Roman"/>
          <w:b w:val="0"/>
          <w:i w:val="0"/>
          <w:sz w:val="22"/>
        </w:rPr>
        <w:t xml:space="preserve">Earlier work already turns a text into a number series and takes its Fourier spectrum (the breakdown of a signal into frequencies): letter sequences [2], word-frequency rank [3], sentence-length variability (SLV; Drożdż et al. find literary </w:t>
      </w:r>
      <m:oMath>
        <m:r>
          <m:rPr>
            <m:sty m:val="p"/>
          </m:rPr>
          <m:t xml:space="preserve">1/</m:t>
        </m:r>
        <m:sSup>
          <m:e>
            <m:r>
              <m:rPr>
                <m:sty m:val="i"/>
              </m:rPr>
              <m:t xml:space="preserve">f</m:t>
            </m:r>
          </m:e>
          <m:sup>
            <m:r>
              <m:rPr>
                <m:sty m:val="i"/>
              </m:rPr>
              <m:t xml:space="preserve">β</m:t>
            </m:r>
          </m:sup>
        </m:sSup>
        <m:r>
          <m:rPr>
            <m:sty m:val="p"/>
          </m:rPr>
          <m:t xml:space="preserve"> with </m:t>
        </m:r>
        <m:r>
          <m:rPr>
            <m:sty m:val="i"/>
          </m:rPr>
          <m:t xml:space="preserve">β</m:t>
        </m:r>
        <m:r>
          <m:rPr>
            <m:sty m:val="p"/>
          </m:rPr>
          <m:t xml:space="preserve"> ≈ 0.5</m:t>
        </m:r>
      </m:oMath>
      <w:r>
        <w:rPr>
          <w:rFonts w:ascii="Times New Roman" w:hAnsi="Times New Roman" w:eastAsia="Times New Roman"/>
          <w:b w:val="0"/>
          <w:i w:val="0"/>
          <w:sz w:val="22"/>
        </w:rPr>
        <w:t>) [4], part-of-speech rank [5], and lexical information density [6]. Recursive grammars produce power-law mutual information; Markov-like strings do not [7]. We apply that construction to hop-depth [8]. We recompute SLV as a control: it is much flatter than hop-depth and is not interchangeable with it. Letter and rank series survive vocabulary-preserving shuffles; hop-depth does not. We compute spectral entropy as in Verma et al. [9], using Eqs. (1)–(2) of the main text. We report normalized composition Shannon entropy [10,11] separately, on the text itself rather than on the spectrum.</w:t>
      </w:r>
    </w:p>
    <w:p>
      <w:pPr>
        <w:spacing w:after="160" w:before="0" w:line="276" w:lineRule="auto"/>
        <w:jc w:val="both"/>
      </w:pPr>
      <w:r>
        <w:rPr>
          <w:rFonts w:ascii="Times New Roman" w:hAnsi="Times New Roman" w:eastAsia="Times New Roman"/>
          <w:b/>
          <w:i w:val="0"/>
          <w:sz w:val="22"/>
        </w:rPr>
        <w:t xml:space="preserve">Syntactic hop-depth encoding. </w:t>
      </w:r>
      <w:r>
        <w:rPr>
          <w:rFonts w:ascii="Times New Roman" w:hAnsi="Times New Roman" w:eastAsia="Times New Roman"/>
          <w:b w:val="0"/>
          <w:i w:val="0"/>
          <w:sz w:val="22"/>
        </w:rPr>
        <w:t>Hop-depth is the number of grammatical steps from a word to the main verb of its sentence (the root). Mean hierarchical distance (MHD) is the average of those steps [8]. MHD usually lies between about 2 and 4. We treat MHD as the mean of a token series and we analyse that series with a Fourier transform.</w:t>
      </w:r>
    </w:p>
    <w:p>
      <w:pPr>
        <w:spacing w:after="40" w:before="0" w:line="276" w:lineRule="auto"/>
        <w:jc w:val="both"/>
      </w:pPr>
      <w:r>
        <w:rPr>
          <w:rFonts w:ascii="Times New Roman" w:hAnsi="Times New Roman" w:eastAsia="Times New Roman"/>
          <w:b w:val="0"/>
          <w:i w:val="0"/>
          <w:sz w:val="22"/>
        </w:rPr>
        <w:t xml:space="preserve">For each language we used spaCy with its largest Universal Dependencies model [12,13] (a shared map of which word depends on which). We used a medium or small model only when no large model existed. We turned off named-entity recognition (labelling names and places), lemmatization (reducing words to dictionary form), and text classification so the parser ran faster. We fed the text in blocks of </w:t>
      </w:r>
      <m:oMath>
        <m:r>
          <m:rPr>
            <m:sty m:val="i"/>
          </m:rPr>
          <m:t xml:space="preserve">K</m:t>
        </m:r>
        <m:r>
          <m:rPr>
            <m:sty m:val="p"/>
          </m:rPr>
          <m:t xml:space="preserve"> = 50,000</m:t>
        </m:r>
      </m:oMath>
      <w:r>
        <w:rPr>
          <w:rFonts w:ascii="Times New Roman" w:hAnsi="Times New Roman" w:eastAsia="Times New Roman"/>
          <w:b w:val="0"/>
          <w:i w:val="0"/>
          <w:sz w:val="22"/>
        </w:rPr>
        <w:t xml:space="preserve"> characters until we had collected </w:t>
      </w:r>
      <m:oMath>
        <m:sSub>
          <m:e>
            <m:r>
              <m:rPr>
                <m:sty m:val="i"/>
              </m:rPr>
              <m:t xml:space="preserve">N</m:t>
            </m:r>
          </m:e>
          <m:sub>
            <m:r>
              <m:rPr>
                <m:sty m:val="p"/>
              </m:rPr>
              <m:t xml:space="preserve">content</m:t>
            </m:r>
          </m:sub>
        </m:sSub>
        <m:r>
          <m:rPr>
            <m:sty m:val="p"/>
          </m:rPr>
          <m:t xml:space="preserve"> = 10,000</m:t>
        </m:r>
      </m:oMath>
      <w:r>
        <w:rPr>
          <w:rFonts w:ascii="Times New Roman" w:hAnsi="Times New Roman" w:eastAsia="Times New Roman"/>
          <w:b w:val="0"/>
          <w:i w:val="0"/>
          <w:sz w:val="22"/>
        </w:rPr>
        <w:t xml:space="preserve"> content tokens. We dropped tokens tagged PUNCT, SPACE, or X. For each remaining token </w:t>
      </w:r>
      <m:oMath>
        <m:sSub>
          <m:e>
            <m:r>
              <m:rPr>
                <m:sty m:val="i"/>
              </m:rPr>
              <m:t xml:space="preserve">t</m:t>
            </m:r>
          </m:e>
          <m:sub>
            <m:r>
              <m:rPr>
                <m:sty m:val="i"/>
              </m:rPr>
              <m:t xml:space="preserve">i</m:t>
            </m:r>
          </m:sub>
        </m:sSub>
      </m:oMath>
      <w:r>
        <w:rPr>
          <w:rFonts w:ascii="Times New Roman" w:hAnsi="Times New Roman" w:eastAsia="Times New Roman"/>
          <w:b w:val="0"/>
          <w:i w:val="0"/>
          <w:sz w:val="22"/>
        </w:rPr>
        <w:t xml:space="preserve">, hop-depth </w:t>
      </w:r>
      <m:oMath>
        <m:r>
          <m:rPr>
            <m:sty m:val="i"/>
          </m:rPr>
          <m:t xml:space="preserve">x</m:t>
        </m:r>
        <m:d>
          <m:dPr>
            <m:begChr m:val="("/>
            <m:endChr m:val=")"/>
          </m:dPr>
          <m:e>
            <m:r>
              <m:rPr>
                <m:sty m:val="i"/>
              </m:rPr>
              <m:t xml:space="preserve">i</m:t>
            </m:r>
          </m:e>
        </m:d>
      </m:oMath>
      <w:r>
        <w:rPr>
          <w:rFonts w:ascii="Times New Roman" w:hAnsi="Times New Roman" w:eastAsia="Times New Roman"/>
          <w:b w:val="0"/>
          <w:i w:val="0"/>
          <w:sz w:val="22"/>
        </w:rPr>
        <w:t xml:space="preserve"> is the number of head steps to the root. If a damaged parse looped and never reached a root, we stopped the walk at 100 steps so the count could not run away. MHD is the mean of that series at </w:t>
      </w:r>
      <m:oMath>
        <m:r>
          <m:rPr>
            <m:sty m:val="i"/>
          </m:rPr>
          <m:t xml:space="preserve">N</m:t>
        </m:r>
        <m:r>
          <m:rPr>
            <m:sty m:val="p"/>
          </m:rPr>
          <m:t xml:space="preserve"> = 10,000</m:t>
        </m:r>
      </m:oMath>
      <w:r>
        <w:rPr>
          <w:rFonts w:ascii="Times New Roman" w:hAnsi="Times New Roman" w:eastAsia="Times New Roman"/>
          <w:b w:val="0"/>
          <w:i w:val="0"/>
          <w:sz w:val="22"/>
        </w:rPr>
        <w:t>:</w:t>
      </w:r>
    </w:p>
    <w:p>
      <w:pPr>
        <w:spacing w:before="160" w:after="160" w:line="276" w:lineRule="auto"/>
        <w:jc w:val="center"/>
      </w:pPr>
      <m:oMathPara>
        <m:oMathParaPr>
          <m:jc m:val="center"/>
        </m:oMathParaPr>
        <m:oMath>
          <m:r>
            <m:rPr>
              <m:sty m:val="i"/>
            </m:rPr>
            <m:t xml:space="preserve">x</m:t>
          </m:r>
          <m:d>
            <m:dPr>
              <m:begChr m:val="("/>
              <m:endChr m:val=")"/>
            </m:dPr>
            <m:e>
              <m:r>
                <m:rPr>
                  <m:sty m:val="i"/>
                </m:rPr>
                <m:t xml:space="preserve">i</m:t>
              </m:r>
            </m:e>
          </m:d>
          <m:r>
            <m:rPr>
              <m:sty m:val="p"/>
            </m:rPr>
            <m:t xml:space="preserve"> = depth</m:t>
          </m:r>
          <m:d>
            <m:dPr>
              <m:begChr m:val="("/>
              <m:endChr m:val=")"/>
            </m:dPr>
            <m:e>
              <m:sSub>
                <m:e>
                  <m:r>
                    <m:rPr>
                      <m:sty m:val="i"/>
                    </m:rPr>
                    <m:t xml:space="preserve">t</m:t>
                  </m:r>
                </m:e>
                <m:sub>
                  <m:r>
                    <m:rPr>
                      <m:sty m:val="i"/>
                    </m:rPr>
                    <m:t xml:space="preserve">i</m:t>
                  </m:r>
                </m:sub>
              </m:sSub>
            </m:e>
          </m:d>
          <m:r>
            <m:rPr>
              <m:sty m:val="p"/>
            </m:rPr>
            <m:t xml:space="preserve">,    depth</m:t>
          </m:r>
          <m:d>
            <m:dPr>
              <m:begChr m:val="("/>
              <m:endChr m:val=")"/>
            </m:dPr>
            <m:e>
              <m:r>
                <m:rPr>
                  <m:sty m:val="i"/>
                </m:rPr>
                <m:t xml:space="preserve">t</m:t>
              </m:r>
            </m:e>
          </m:d>
          <m:r>
            <m:rPr>
              <m:sty m:val="p"/>
            </m:rPr>
            <m:t xml:space="preserve"> = min</m:t>
          </m:r>
          <m:d>
            <m:dPr>
              <m:begChr m:val="{"/>
              <m:endChr m:val="}"/>
            </m:dPr>
            <m:e>
              <m:r>
                <m:rPr>
                  <m:sty m:val="i"/>
                </m:rPr>
                <m:t xml:space="preserve">d</m:t>
              </m:r>
              <m:r>
                <m:rPr>
                  <m:sty m:val="p"/>
                </m:rPr>
                <m:t xml:space="preserve"> : </m:t>
              </m:r>
              <m:sSup>
                <m:e>
                  <m:r>
                    <m:rPr>
                      <m:sty m:val="p"/>
                    </m:rPr>
                    <m:t xml:space="preserve">head</m:t>
                  </m:r>
                </m:e>
                <m:sup>
                  <m:r>
                    <m:rPr>
                      <m:sty m:val="i"/>
                    </m:rPr>
                    <m:t xml:space="preserve">d</m:t>
                  </m:r>
                </m:sup>
              </m:sSup>
              <m:d>
                <m:dPr>
                  <m:begChr m:val="("/>
                  <m:endChr m:val=")"/>
                </m:dPr>
                <m:e>
                  <m:r>
                    <m:rPr>
                      <m:sty m:val="i"/>
                    </m:rPr>
                    <m:t xml:space="preserve">t</m:t>
                  </m:r>
                </m:e>
              </m:d>
              <m:r>
                <m:rPr>
                  <m:sty m:val="p"/>
                </m:rPr>
                <m:t xml:space="preserve"> = </m:t>
              </m:r>
              <m:r>
                <m:rPr>
                  <m:sty m:val="i"/>
                </m:rPr>
                <m:t xml:space="preserve">t</m:t>
              </m:r>
            </m:e>
          </m:d>
          <m:r>
            <m:rPr>
              <m:sty m:val="p"/>
            </m:rPr>
            <m:t xml:space="preserve">    (stop at 100),    MHD = </m:t>
          </m:r>
          <m:f>
            <m:num>
              <m:r>
                <m:rPr>
                  <m:sty m:val="p"/>
                </m:rPr>
                <m:t xml:space="preserve">1</m:t>
              </m:r>
            </m:num>
            <m:den>
              <m:r>
                <m:rPr>
                  <m:sty m:val="i"/>
                </m:rPr>
                <m:t xml:space="preserve">N</m:t>
              </m:r>
            </m:den>
          </m:f>
          <m:nary>
            <m:naryPr>
              <m:chr m:val="∑"/>
              <m:limLoc m:val="undOvr"/>
            </m:naryPr>
            <m:sub>
              <m:r>
                <m:rPr>
                  <m:sty m:val="i"/>
                </m:rPr>
                <m:t xml:space="preserve">i</m:t>
              </m:r>
              <m:r>
                <m:rPr>
                  <m:sty m:val="p"/>
                </m:rPr>
                <m:t xml:space="preserve"> = 1</m:t>
              </m:r>
            </m:sub>
            <m:sup>
              <m:r>
                <m:rPr>
                  <m:sty m:val="i"/>
                </m:rPr>
                <m:t xml:space="preserve">N</m:t>
              </m:r>
            </m:sup>
            <m:e>
              <m:r>
                <m:rPr>
                  <m:sty m:val="i"/>
                </m:rPr>
                <m:t xml:space="preserve">x</m:t>
              </m:r>
              <m:d>
                <m:dPr>
                  <m:begChr m:val="("/>
                  <m:endChr m:val=")"/>
                </m:dPr>
                <m:e>
                  <m:r>
                    <m:rPr>
                      <m:sty m:val="i"/>
                    </m:rPr>
                    <m:t xml:space="preserve">i</m:t>
                  </m:r>
                </m:e>
              </m:d>
            </m:e>
          </m:nary>
          <m:r>
            <m:rPr>
              <m:sty m:val="p"/>
            </m:rPr>
            <m:t xml:space="preserve">.</m:t>
          </m:r>
        </m:oMath>
      </m:oMathPara>
    </w:p>
    <w:p>
      <w:pPr>
        <w:spacing w:after="160" w:before="0" w:line="276" w:lineRule="auto"/>
        <w:jc w:val="both"/>
      </w:pPr>
      <w:r>
        <w:rPr>
          <w:rFonts w:ascii="Times New Roman" w:hAnsi="Times New Roman" w:eastAsia="Times New Roman"/>
          <w:b w:val="0"/>
          <w:i w:val="0"/>
          <w:sz w:val="22"/>
        </w:rPr>
        <w:t xml:space="preserve">A short example makes the encoding concrete. In </w:t>
      </w:r>
      <m:oMath>
        <m:r>
          <m:rPr>
            <m:sty m:val="i"/>
          </m:rPr>
          <m:t xml:space="preserve">The cat sat on the mat.</m:t>
        </m:r>
      </m:oMath>
      <w:r>
        <w:rPr>
          <w:rFonts w:ascii="Times New Roman" w:hAnsi="Times New Roman" w:eastAsia="Times New Roman"/>
          <w:b w:val="0"/>
          <w:i w:val="0"/>
          <w:sz w:val="22"/>
        </w:rPr>
        <w:t xml:space="preserve">, </w:t>
      </w:r>
      <m:oMath>
        <m:r>
          <m:rPr>
            <m:sty m:val="i"/>
          </m:rPr>
          <m:t xml:space="preserve">sat</m:t>
        </m:r>
      </m:oMath>
      <w:r>
        <w:rPr>
          <w:rFonts w:ascii="Times New Roman" w:hAnsi="Times New Roman" w:eastAsia="Times New Roman"/>
          <w:b w:val="0"/>
          <w:i w:val="0"/>
          <w:sz w:val="22"/>
        </w:rPr>
        <w:t xml:space="preserve"> is the root. Walking each token to that root and dropping the period gives </w:t>
      </w:r>
      <m:oMath>
        <m:r>
          <m:rPr>
            <m:sty m:val="i"/>
          </m:rPr>
          <m:t xml:space="preserve">x</m:t>
        </m:r>
        <m:r>
          <m:rPr>
            <m:sty m:val="p"/>
          </m:rPr>
          <m:t xml:space="preserve"> = [2, 1, 0, 1, 3, 2]</m:t>
        </m:r>
      </m:oMath>
      <w:r>
        <w:rPr>
          <w:rFonts w:ascii="Times New Roman" w:hAnsi="Times New Roman" w:eastAsia="Times New Roman"/>
          <w:b w:val="0"/>
          <w:i w:val="0"/>
          <w:sz w:val="22"/>
        </w:rPr>
        <w:t xml:space="preserve">, so the sentence MHD is 1.50. Each book series is the concatenation of such sentences, truncated at </w:t>
      </w:r>
      <m:oMath>
        <m:r>
          <m:rPr>
            <m:sty m:val="i"/>
          </m:rPr>
          <m:t xml:space="preserve">N</m:t>
        </m:r>
      </m:oMath>
      <w:r>
        <w:rPr>
          <w:rFonts w:ascii="Times New Roman" w:hAnsi="Times New Roman" w:eastAsia="Times New Roman"/>
          <w:b w:val="0"/>
          <w:i w:val="0"/>
          <w:sz w:val="22"/>
        </w:rPr>
        <w:t>.</w:t>
      </w:r>
    </w:p>
    <w:p>
      <w:pPr>
        <w:spacing w:after="40" w:before="0" w:line="276" w:lineRule="auto"/>
        <w:jc w:val="both"/>
      </w:pPr>
      <w:r>
        <w:rPr>
          <w:rFonts w:ascii="Times New Roman" w:hAnsi="Times New Roman" w:eastAsia="Times New Roman"/>
          <w:b/>
          <w:i w:val="0"/>
          <w:sz w:val="22"/>
        </w:rPr>
        <w:t xml:space="preserve">Hop-depth power spectral density. </w:t>
      </w:r>
      <w:r>
        <w:rPr>
          <w:rFonts w:ascii="Times New Roman" w:hAnsi="Times New Roman" w:eastAsia="Times New Roman"/>
          <w:b w:val="0"/>
          <w:i w:val="0"/>
          <w:sz w:val="22"/>
        </w:rPr>
        <w:t xml:space="preserve">Each book is one sample per token, so frequency is </w:t>
      </w:r>
      <m:oMath>
        <m:r>
          <m:rPr>
            <m:sty m:val="i"/>
          </m:rPr>
          <m:t xml:space="preserve">f</m:t>
        </m:r>
        <m:r>
          <m:rPr>
            <m:sty m:val="p"/>
          </m:rPr>
          <m:t xml:space="preserve"> = </m:t>
        </m:r>
        <m:r>
          <m:rPr>
            <m:sty m:val="i"/>
          </m:rPr>
          <m:t xml:space="preserve">n</m:t>
        </m:r>
        <m:r>
          <m:rPr>
            <m:sty m:val="p"/>
          </m:rPr>
          <m:t xml:space="preserve">/</m:t>
        </m:r>
        <m:r>
          <m:rPr>
            <m:sty m:val="i"/>
          </m:rPr>
          <m:t xml:space="preserve">N</m:t>
        </m:r>
      </m:oMath>
      <w:r>
        <w:rPr>
          <w:rFonts w:ascii="Times New Roman" w:hAnsi="Times New Roman" w:eastAsia="Times New Roman"/>
          <w:b w:val="0"/>
          <w:i w:val="0"/>
          <w:sz w:val="22"/>
        </w:rPr>
        <w:t xml:space="preserve"> in cycles per word (</w:t>
      </w:r>
      <m:oMath>
        <m:r>
          <m:rPr>
            <m:sty m:val="i"/>
          </m:rPr>
          <m:t xml:space="preserve">n</m:t>
        </m:r>
        <m:r>
          <m:rPr>
            <m:sty m:val="p"/>
          </m:rPr>
          <m:t xml:space="preserve"> = 0, …, </m:t>
        </m:r>
        <m:r>
          <m:rPr>
            <m:sty m:val="i"/>
          </m:rPr>
          <m:t xml:space="preserve">N</m:t>
        </m:r>
        <m:r>
          <m:rPr>
            <m:sty m:val="p"/>
          </m:rPr>
          <m:t xml:space="preserve"> − 1</m:t>
        </m:r>
      </m:oMath>
      <w:r>
        <w:rPr>
          <w:rFonts w:ascii="Times New Roman" w:hAnsi="Times New Roman" w:eastAsia="Times New Roman"/>
          <w:b w:val="0"/>
          <w:i w:val="0"/>
          <w:sz w:val="22"/>
        </w:rPr>
        <w:t xml:space="preserve">), with Nyquist frequency 1/2 and resolution </w:t>
      </w:r>
      <m:oMath>
        <m:r>
          <m:rPr>
            <m:sty m:val="i"/>
          </m:rPr>
          <m:t xml:space="preserve">Δf</m:t>
        </m:r>
        <m:r>
          <m:rPr>
            <m:sty m:val="p"/>
          </m:rPr>
          <m:t xml:space="preserve"> = </m:t>
        </m:r>
        <m:sSup>
          <m:e>
            <m:r>
              <m:rPr>
                <m:sty m:val="p"/>
              </m:rPr>
              <m:t xml:space="preserve">10</m:t>
            </m:r>
          </m:e>
          <m:sup>
            <m:r>
              <m:rPr>
                <m:sty m:val="p"/>
              </m:rPr>
              <m:t xml:space="preserve">−4</m:t>
            </m:r>
          </m:sup>
        </m:sSup>
      </m:oMath>
      <w:r>
        <w:rPr>
          <w:rFonts w:ascii="Times New Roman" w:hAnsi="Times New Roman" w:eastAsia="Times New Roman"/>
          <w:b w:val="0"/>
          <w:i w:val="0"/>
          <w:sz w:val="22"/>
        </w:rPr>
        <w:t xml:space="preserve">. We subtract the mean of the series and we take a single unwindowed discrete Fourier transform (DFT). We do not use Welch or short-time averaging, so the lowest frequency </w:t>
      </w:r>
      <m:oMath>
        <m:r>
          <m:rPr>
            <m:sty m:val="i"/>
          </m:rPr>
          <m:t xml:space="preserve">f</m:t>
        </m:r>
        <m:r>
          <m:rPr>
            <m:sty m:val="p"/>
          </m:rPr>
          <m:t xml:space="preserve"> = 1/</m:t>
        </m:r>
        <m:r>
          <m:rPr>
            <m:sty m:val="i"/>
          </m:rPr>
          <m:t xml:space="preserve">N</m:t>
        </m:r>
      </m:oMath>
      <w:r>
        <w:rPr>
          <w:rFonts w:ascii="Times New Roman" w:hAnsi="Times New Roman" w:eastAsia="Times New Roman"/>
          <w:b w:val="0"/>
          <w:i w:val="0"/>
          <w:sz w:val="22"/>
        </w:rPr>
        <w:t xml:space="preserve"> remains resolved [4,3]:</w:t>
      </w:r>
    </w:p>
    <w:p>
      <w:pPr>
        <w:spacing w:before="160" w:after="160" w:line="276" w:lineRule="auto"/>
        <w:jc w:val="center"/>
      </w:pPr>
      <m:oMathPara>
        <m:oMathParaPr>
          <m:jc m:val="center"/>
        </m:oMathParaPr>
        <m:oMath>
          <m:r>
            <m:rPr>
              <m:sty m:val="i"/>
            </m:rPr>
            <m:t xml:space="preserve">x̃</m:t>
          </m:r>
          <m:r>
            <m:rPr>
              <m:sty m:val="p"/>
            </m:rPr>
            <m:t xml:space="preserve"> = </m:t>
          </m:r>
          <m:r>
            <m:rPr>
              <m:sty m:val="i"/>
            </m:rPr>
            <m:t xml:space="preserve">x</m:t>
          </m:r>
          <m:r>
            <m:rPr>
              <m:sty m:val="p"/>
            </m:rPr>
            <m:t xml:space="preserve"> − </m:t>
          </m:r>
          <m:r>
            <m:rPr>
              <m:sty m:val="i"/>
            </m:rPr>
            <m:t xml:space="preserve">x̄</m:t>
          </m:r>
          <m:r>
            <m:rPr>
              <m:sty m:val="p"/>
            </m:rPr>
            <m:t xml:space="preserve">,    </m:t>
          </m:r>
          <m:r>
            <m:rPr>
              <m:sty m:val="i"/>
            </m:rPr>
            <m:t xml:space="preserve">X</m:t>
          </m:r>
          <m:d>
            <m:dPr>
              <m:begChr m:val="("/>
              <m:endChr m:val=")"/>
            </m:dPr>
            <m:e>
              <m:r>
                <m:rPr>
                  <m:sty m:val="i"/>
                </m:rPr>
                <m:t xml:space="preserve">f</m:t>
              </m:r>
            </m:e>
          </m:d>
          <m:r>
            <m:rPr>
              <m:sty m:val="p"/>
            </m:rPr>
            <m:t xml:space="preserve"> = </m:t>
          </m:r>
          <m:nary>
            <m:naryPr>
              <m:chr m:val="∑"/>
              <m:limLoc m:val="undOvr"/>
            </m:naryPr>
            <m:sub>
              <m:r>
                <m:rPr>
                  <m:sty m:val="i"/>
                </m:rPr>
                <m:t xml:space="preserve">n</m:t>
              </m:r>
              <m:r>
                <m:rPr>
                  <m:sty m:val="p"/>
                </m:rPr>
                <m:t xml:space="preserve"> = 0</m:t>
              </m:r>
            </m:sub>
            <m:sup>
              <m:r>
                <m:rPr>
                  <m:sty m:val="i"/>
                </m:rPr>
                <m:t xml:space="preserve">N</m:t>
              </m:r>
              <m:r>
                <m:rPr>
                  <m:sty m:val="p"/>
                </m:rPr>
                <m:t xml:space="preserve"> − 1</m:t>
              </m:r>
            </m:sup>
            <m:e>
              <m:r>
                <m:rPr>
                  <m:sty m:val="i"/>
                </m:rPr>
                <m:t xml:space="preserve">x̃</m:t>
              </m:r>
              <m:d>
                <m:dPr>
                  <m:begChr m:val="("/>
                  <m:endChr m:val=")"/>
                </m:dPr>
                <m:e>
                  <m:r>
                    <m:rPr>
                      <m:sty m:val="i"/>
                    </m:rPr>
                    <m:t xml:space="preserve">n</m:t>
                  </m:r>
                </m:e>
              </m:d>
              <m:r>
                <m:rPr>
                  <m:sty m:val="p"/>
                </m:rPr>
                <m:t xml:space="preserve"> </m:t>
              </m:r>
              <m:sSup>
                <m:e>
                  <m:r>
                    <m:rPr>
                      <m:sty m:val="i"/>
                    </m:rPr>
                    <m:t xml:space="preserve">e</m:t>
                  </m:r>
                </m:e>
                <m:sup>
                  <m:r>
                    <m:rPr>
                      <m:sty m:val="p"/>
                    </m:rPr>
                    <m:t xml:space="preserve">−2π i </m:t>
                  </m:r>
                  <m:r>
                    <m:rPr>
                      <m:sty m:val="i"/>
                    </m:rPr>
                    <m:t xml:space="preserve">f n</m:t>
                  </m:r>
                </m:sup>
              </m:sSup>
            </m:e>
          </m:nary>
          <m:r>
            <m:rPr>
              <m:sty m:val="p"/>
            </m:rPr>
            <m:t xml:space="preserve">,    </m:t>
          </m:r>
          <m:r>
            <m:rPr>
              <m:sty m:val="i"/>
            </m:rPr>
            <m:t xml:space="preserve">E</m:t>
          </m:r>
          <m:d>
            <m:dPr>
              <m:begChr m:val="("/>
              <m:endChr m:val=")"/>
            </m:dPr>
            <m:e>
              <m:r>
                <m:rPr>
                  <m:sty m:val="i"/>
                </m:rPr>
                <m:t xml:space="preserve">f</m:t>
              </m:r>
            </m:e>
          </m:d>
          <m:r>
            <m:rPr>
              <m:sty m:val="p"/>
            </m:rPr>
            <m:t xml:space="preserve"> = </m:t>
          </m:r>
          <m:sSup>
            <m:e>
              <m:d>
                <m:dPr>
                  <m:begChr m:val="|"/>
                  <m:endChr m:val="|"/>
                </m:dPr>
                <m:e>
                  <m:r>
                    <m:rPr>
                      <m:sty m:val="i"/>
                    </m:rPr>
                    <m:t xml:space="preserve">X</m:t>
                  </m:r>
                  <m:d>
                    <m:dPr>
                      <m:begChr m:val="("/>
                      <m:endChr m:val=")"/>
                    </m:dPr>
                    <m:e>
                      <m:r>
                        <m:rPr>
                          <m:sty m:val="i"/>
                        </m:rPr>
                        <m:t xml:space="preserve">f</m:t>
                      </m:r>
                    </m:e>
                  </m:d>
                </m:e>
              </m:d>
            </m:e>
            <m:sup>
              <m:r>
                <m:rPr>
                  <m:sty m:val="p"/>
                </m:rPr>
                <m:t xml:space="preserve">2</m:t>
              </m:r>
            </m:sup>
          </m:sSup>
          <m:r>
            <m:rPr>
              <m:sty m:val="p"/>
            </m:rPr>
            <m:t xml:space="preserve">.</m:t>
          </m:r>
        </m:oMath>
      </m:oMathPara>
    </w:p>
    <w:p>
      <w:pPr>
        <w:spacing w:after="160" w:before="0" w:line="276" w:lineRule="auto"/>
        <w:jc w:val="both"/>
      </w:pPr>
      <w:r>
        <w:rPr>
          <w:rFonts w:ascii="Times New Roman" w:hAnsi="Times New Roman" w:eastAsia="Times New Roman"/>
          <w:b w:val="0"/>
          <w:i w:val="0"/>
          <w:sz w:val="22"/>
        </w:rPr>
        <w:t xml:space="preserve">Subtracting the mean sends </w:t>
      </w:r>
      <m:oMath>
        <m:r>
          <m:rPr>
            <m:sty m:val="i"/>
          </m:rPr>
          <m:t xml:space="preserve">E</m:t>
        </m:r>
        <m:d>
          <m:dPr>
            <m:begChr m:val="("/>
            <m:endChr m:val=")"/>
          </m:dPr>
          <m:e>
            <m:r>
              <m:rPr>
                <m:sty m:val="p"/>
              </m:rPr>
              <m:t xml:space="preserve">0</m:t>
            </m:r>
          </m:e>
        </m:d>
        <m:r>
          <m:rPr>
            <m:sty m:val="p"/>
          </m:rPr>
          <m:t xml:space="preserve"> ≈ 0</m:t>
        </m:r>
      </m:oMath>
      <w:r>
        <w:rPr>
          <w:rFonts w:ascii="Times New Roman" w:hAnsi="Times New Roman" w:eastAsia="Times New Roman"/>
          <w:b w:val="0"/>
          <w:i w:val="0"/>
          <w:sz w:val="22"/>
        </w:rPr>
        <w:t xml:space="preserve">. Because </w:t>
      </w:r>
      <m:oMath>
        <m:r>
          <m:rPr>
            <m:sty m:val="i"/>
          </m:rPr>
          <m:t xml:space="preserve">x</m:t>
        </m:r>
      </m:oMath>
      <w:r>
        <w:rPr>
          <w:rFonts w:ascii="Times New Roman" w:hAnsi="Times New Roman" w:eastAsia="Times New Roman"/>
          <w:b w:val="0"/>
          <w:i w:val="0"/>
          <w:sz w:val="22"/>
        </w:rPr>
        <w:t xml:space="preserve"> is real, </w:t>
      </w:r>
      <m:oMath>
        <m:r>
          <m:rPr>
            <m:sty m:val="i"/>
          </m:rPr>
          <m:t xml:space="preserve">E</m:t>
        </m:r>
        <m:d>
          <m:dPr>
            <m:begChr m:val="("/>
            <m:endChr m:val=")"/>
          </m:dPr>
          <m:e>
            <m:r>
              <m:rPr>
                <m:sty m:val="i"/>
              </m:rPr>
              <m:t xml:space="preserve">f</m:t>
            </m:r>
          </m:e>
        </m:d>
        <m:r>
          <m:rPr>
            <m:sty m:val="p"/>
          </m:rPr>
          <m:t xml:space="preserve"> = </m:t>
        </m:r>
        <m:r>
          <m:rPr>
            <m:sty m:val="i"/>
          </m:rPr>
          <m:t xml:space="preserve">E</m:t>
        </m:r>
        <m:d>
          <m:dPr>
            <m:begChr m:val="("/>
            <m:endChr m:val=")"/>
          </m:dPr>
          <m:e>
            <m:r>
              <m:rPr>
                <m:sty m:val="p"/>
              </m:rPr>
              <m:t xml:space="preserve">1 − </m:t>
            </m:r>
            <m:r>
              <m:rPr>
                <m:sty m:val="i"/>
              </m:rPr>
              <m:t xml:space="preserve">f</m:t>
            </m:r>
          </m:e>
        </m:d>
      </m:oMath>
      <w:r>
        <w:rPr>
          <w:rFonts w:ascii="Times New Roman" w:hAnsi="Times New Roman" w:eastAsia="Times New Roman"/>
          <w:b w:val="0"/>
          <w:i w:val="0"/>
          <w:sz w:val="22"/>
        </w:rPr>
        <w:t xml:space="preserve">, and only the band </w:t>
      </w:r>
      <m:oMath>
        <m:r>
          <m:rPr>
            <m:sty m:val="p"/>
          </m:rPr>
          <m:t xml:space="preserve">0 &lt; </m:t>
        </m:r>
        <m:r>
          <m:rPr>
            <m:sty m:val="i"/>
          </m:rPr>
          <m:t xml:space="preserve">f</m:t>
        </m:r>
        <m:r>
          <m:rPr>
            <m:sty m:val="p"/>
          </m:rPr>
          <m:t xml:space="preserve"> ≤ 1/2</m:t>
        </m:r>
      </m:oMath>
      <w:r>
        <w:rPr>
          <w:rFonts w:ascii="Times New Roman" w:hAnsi="Times New Roman" w:eastAsia="Times New Roman"/>
          <w:b w:val="0"/>
          <w:i w:val="0"/>
          <w:sz w:val="22"/>
        </w:rPr>
        <w:t xml:space="preserve"> is unique.</w:t>
      </w:r>
    </w:p>
    <w:p>
      <w:pPr>
        <w:spacing w:after="40" w:before="0" w:line="276" w:lineRule="auto"/>
        <w:jc w:val="both"/>
      </w:pPr>
      <w:r>
        <w:rPr>
          <w:rFonts w:ascii="Times New Roman" w:hAnsi="Times New Roman" w:eastAsia="Times New Roman"/>
          <w:b/>
          <w:i w:val="0"/>
          <w:sz w:val="22"/>
        </w:rPr>
        <w:t xml:space="preserve">Spectral entropy and scaling. </w:t>
      </w:r>
      <w:r>
        <w:rPr>
          <w:rFonts w:ascii="Times New Roman" w:hAnsi="Times New Roman" w:eastAsia="Times New Roman"/>
          <w:b w:val="0"/>
          <w:i w:val="0"/>
          <w:sz w:val="22"/>
        </w:rPr>
        <w:t xml:space="preserve">We obtain the scaling exponent </w:t>
      </w:r>
      <m:oMath>
        <m:r>
          <m:rPr>
            <m:sty m:val="i"/>
          </m:rPr>
          <m:t xml:space="preserve">β</m:t>
        </m:r>
      </m:oMath>
      <w:r>
        <w:rPr>
          <w:rFonts w:ascii="Times New Roman" w:hAnsi="Times New Roman" w:eastAsia="Times New Roman"/>
          <w:b w:val="0"/>
          <w:i w:val="0"/>
          <w:sz w:val="22"/>
        </w:rPr>
        <w:t xml:space="preserve"> using Eq. (3) of the main text: ordinary least squares of </w:t>
      </w:r>
      <m:oMath>
        <m:sSub>
          <m:e>
            <m:r>
              <m:rPr>
                <m:sty m:val="p"/>
              </m:rPr>
              <m:t xml:space="preserve">log</m:t>
            </m:r>
          </m:e>
          <m:sub>
            <m:r>
              <m:rPr>
                <m:sty m:val="p"/>
              </m:rPr>
              <m:t xml:space="preserve">10</m:t>
            </m:r>
          </m:sub>
        </m:sSub>
        <m:r>
          <m:rPr>
            <m:sty m:val="p"/>
          </m:rPr>
          <m:t xml:space="preserve"> </m:t>
        </m:r>
        <m:r>
          <m:rPr>
            <m:sty m:val="i"/>
          </m:rPr>
          <m:t xml:space="preserve">E</m:t>
        </m:r>
        <m:d>
          <m:dPr>
            <m:begChr m:val="("/>
            <m:endChr m:val=")"/>
          </m:dPr>
          <m:e>
            <m:r>
              <m:rPr>
                <m:sty m:val="i"/>
              </m:rPr>
              <m:t xml:space="preserve">f</m:t>
            </m:r>
          </m:e>
        </m:d>
      </m:oMath>
      <w:r>
        <w:rPr>
          <w:rFonts w:ascii="Times New Roman" w:hAnsi="Times New Roman" w:eastAsia="Times New Roman"/>
          <w:b w:val="0"/>
          <w:i w:val="0"/>
          <w:sz w:val="22"/>
        </w:rPr>
        <w:t xml:space="preserve"> on </w:t>
      </w:r>
      <m:oMath>
        <m:sSub>
          <m:e>
            <m:r>
              <m:rPr>
                <m:sty m:val="p"/>
              </m:rPr>
              <m:t xml:space="preserve">log</m:t>
            </m:r>
          </m:e>
          <m:sub>
            <m:r>
              <m:rPr>
                <m:sty m:val="p"/>
              </m:rPr>
              <m:t xml:space="preserve">10</m:t>
            </m:r>
          </m:sub>
        </m:sSub>
        <m:r>
          <m:rPr>
            <m:sty m:val="p"/>
          </m:rPr>
          <m:t xml:space="preserve"> </m:t>
        </m:r>
        <m:r>
          <m:rPr>
            <m:sty m:val="i"/>
          </m:rPr>
          <m:t xml:space="preserve">f</m:t>
        </m:r>
      </m:oMath>
      <w:r>
        <w:rPr>
          <w:rFonts w:ascii="Times New Roman" w:hAnsi="Times New Roman" w:eastAsia="Times New Roman"/>
          <w:b w:val="0"/>
          <w:i w:val="0"/>
          <w:sz w:val="22"/>
        </w:rPr>
        <w:t xml:space="preserve"> after a 250-bin moving average over </w:t>
      </w:r>
      <m:oMath>
        <m:r>
          <m:rPr>
            <m:sty m:val="p"/>
          </m:rPr>
          <m:t xml:space="preserve">0 &lt; </m:t>
        </m:r>
        <m:r>
          <m:rPr>
            <m:sty m:val="i"/>
          </m:rPr>
          <m:t xml:space="preserve">f</m:t>
        </m:r>
        <m:r>
          <m:rPr>
            <m:sty m:val="p"/>
          </m:rPr>
          <m:t xml:space="preserve"> ≤ 1/2</m:t>
        </m:r>
      </m:oMath>
      <w:r>
        <w:rPr>
          <w:rFonts w:ascii="Times New Roman" w:hAnsi="Times New Roman" w:eastAsia="Times New Roman"/>
          <w:b w:val="0"/>
          <w:i w:val="0"/>
          <w:sz w:val="22"/>
        </w:rPr>
        <w:t xml:space="preserve">. For the same spectrum we compute spectral entropy </w:t>
      </w:r>
      <m:oMath>
        <m:r>
          <m:rPr>
            <m:sty m:val="i"/>
          </m:rPr>
          <m:t xml:space="preserve">H</m:t>
        </m:r>
      </m:oMath>
      <w:r>
        <w:rPr>
          <w:rFonts w:ascii="Times New Roman" w:hAnsi="Times New Roman" w:eastAsia="Times New Roman"/>
          <w:b w:val="0"/>
          <w:i w:val="0"/>
          <w:sz w:val="22"/>
        </w:rPr>
        <w:t xml:space="preserve"> using Eq. (1) with the mass function</w:t>
      </w:r>
    </w:p>
    <w:p>
      <w:pPr>
        <w:spacing w:before="160" w:after="160" w:line="276" w:lineRule="auto"/>
        <w:jc w:val="center"/>
      </w:pPr>
      <m:oMathPara>
        <m:oMathParaPr>
          <m:jc m:val="center"/>
        </m:oMathParaPr>
        <m:oMath>
          <m:sSub>
            <m:e>
              <m:r>
                <m:rPr>
                  <m:sty m:val="i"/>
                </m:rPr>
                <m:t xml:space="preserve">P</m:t>
              </m:r>
            </m:e>
            <m:sub>
              <m:r>
                <m:rPr>
                  <m:sty m:val="i"/>
                </m:rPr>
                <m:t xml:space="preserve">f</m:t>
              </m:r>
            </m:sub>
          </m:sSub>
          <m:r>
            <m:rPr>
              <m:sty m:val="p"/>
            </m:rPr>
            <m:t xml:space="preserve"> = </m:t>
          </m:r>
          <m:f>
            <m:num>
              <m:r>
                <m:rPr>
                  <m:sty m:val="i"/>
                </m:rPr>
                <m:t xml:space="preserve">E</m:t>
              </m:r>
              <m:d>
                <m:dPr>
                  <m:begChr m:val="("/>
                  <m:endChr m:val=")"/>
                </m:dPr>
                <m:e>
                  <m:r>
                    <m:rPr>
                      <m:sty m:val="i"/>
                    </m:rPr>
                    <m:t xml:space="preserve">f</m:t>
                  </m:r>
                </m:e>
              </m:d>
            </m:num>
            <m:den>
              <m:nary>
                <m:naryPr>
                  <m:chr m:val="∑"/>
                  <m:limLoc m:val="undOvr"/>
                  <m:supHide m:val="1"/>
                </m:naryPr>
                <m:sub>
                  <m:r>
                    <m:rPr>
                      <m:sty m:val="i"/>
                    </m:rPr>
                    <m:t xml:space="preserve">f</m:t>
                  </m:r>
                </m:sub>
                <m:sup/>
                <m:e>
                  <m:r>
                    <m:rPr>
                      <m:sty m:val="i"/>
                    </m:rPr>
                    <m:t xml:space="preserve">E</m:t>
                  </m:r>
                  <m:d>
                    <m:dPr>
                      <m:begChr m:val="("/>
                      <m:endChr m:val=")"/>
                    </m:dPr>
                    <m:e>
                      <m:r>
                        <m:rPr>
                          <m:sty m:val="i"/>
                        </m:rPr>
                        <m:t xml:space="preserve">f</m:t>
                      </m:r>
                    </m:e>
                  </m:d>
                </m:e>
              </m:nary>
            </m:den>
          </m:f>
          <m:r>
            <m:rPr>
              <m:sty m:val="p"/>
            </m:rPr>
            <m:t xml:space="preserve">.</m:t>
          </m:r>
        </m:oMath>
      </m:oMathPara>
    </w:p>
    <w:p>
      <w:pPr>
        <w:spacing w:after="160" w:before="0" w:line="276" w:lineRule="auto"/>
        <w:jc w:val="both"/>
      </w:pPr>
      <w:r>
        <w:rPr>
          <w:rFonts w:ascii="Times New Roman" w:hAnsi="Times New Roman" w:eastAsia="Times New Roman"/>
          <w:b w:val="0"/>
          <w:i w:val="0"/>
          <w:sz w:val="22"/>
        </w:rPr>
        <w:t xml:space="preserve">Non-positive bins are dropped before the sum. We then report the unit-interval score </w:t>
      </w:r>
      <m:oMath>
        <m:acc>
          <m:accPr>
            <m:chr m:val="̃"/>
          </m:accPr>
          <m:e>
            <m:r>
              <m:rPr>
                <m:sty m:val="i"/>
              </m:rPr>
              <m:t xml:space="preserve">H</m:t>
            </m:r>
          </m:e>
        </m:acc>
      </m:oMath>
      <w:r>
        <w:rPr>
          <w:rFonts w:ascii="Times New Roman" w:hAnsi="Times New Roman" w:eastAsia="Times New Roman"/>
          <w:b w:val="0"/>
          <w:i w:val="0"/>
          <w:sz w:val="22"/>
        </w:rPr>
        <w:t xml:space="preserve"> from Eq. (2) with </w:t>
      </w:r>
      <m:oMath>
        <m:r>
          <m:rPr>
            <m:sty m:val="i"/>
          </m:rPr>
          <m:t xml:space="preserve">N</m:t>
        </m:r>
        <m:r>
          <m:rPr>
            <m:sty m:val="p"/>
          </m:rPr>
          <m:t xml:space="preserve"> = 10,000</m:t>
        </m:r>
      </m:oMath>
      <w:r>
        <w:rPr>
          <w:rFonts w:ascii="Times New Roman" w:hAnsi="Times New Roman" w:eastAsia="Times New Roman"/>
          <w:b w:val="0"/>
          <w:i w:val="0"/>
          <w:sz w:val="22"/>
        </w:rPr>
        <w:t xml:space="preserve"> (</w:t>
      </w:r>
      <m:oMath>
        <m:sSub>
          <m:e>
            <m:r>
              <m:rPr>
                <m:sty m:val="p"/>
              </m:rPr>
              <m:t xml:space="preserve">log</m:t>
            </m:r>
          </m:e>
          <m:sub>
            <m:r>
              <m:rPr>
                <m:sty m:val="p"/>
              </m:rPr>
              <m:t xml:space="preserve">2</m:t>
            </m:r>
          </m:sub>
        </m:sSub>
        <m:r>
          <m:rPr>
            <m:sty m:val="p"/>
          </m:rPr>
          <m:t xml:space="preserve"> 10,000 ≈ 13.29</m:t>
        </m:r>
      </m:oMath>
      <w:r>
        <w:rPr>
          <w:rFonts w:ascii="Times New Roman" w:hAnsi="Times New Roman" w:eastAsia="Times New Roman"/>
          <w:b w:val="0"/>
          <w:i w:val="0"/>
          <w:sz w:val="22"/>
        </w:rPr>
        <w:t xml:space="preserve">). Eq. (3) already implies </w:t>
      </w:r>
      <m:oMath>
        <m:r>
          <m:rPr>
            <m:sty m:val="i"/>
          </m:rPr>
          <m:t xml:space="preserve">E</m:t>
        </m:r>
        <m:d>
          <m:dPr>
            <m:begChr m:val="("/>
            <m:endChr m:val=")"/>
          </m:dPr>
          <m:e>
            <m:r>
              <m:rPr>
                <m:sty m:val="i"/>
              </m:rPr>
              <m:t xml:space="preserve">f</m:t>
            </m:r>
          </m:e>
        </m:d>
        <m:r>
          <m:rPr>
            <m:sty m:val="p"/>
          </m:rPr>
          <m:t xml:space="preserve"> ∝ </m:t>
        </m:r>
        <m:sSup>
          <m:e>
            <m:r>
              <m:rPr>
                <m:sty m:val="i"/>
              </m:rPr>
              <m:t xml:space="preserve">f</m:t>
            </m:r>
          </m:e>
          <m:sup>
            <m:r>
              <m:rPr>
                <m:sty m:val="p"/>
              </m:rPr>
              <m:t xml:space="preserve">−</m:t>
            </m:r>
            <m:r>
              <m:rPr>
                <m:sty m:val="i"/>
              </m:rPr>
              <m:t xml:space="preserve">β</m:t>
            </m:r>
          </m:sup>
        </m:sSup>
      </m:oMath>
      <w:r>
        <w:rPr>
          <w:rFonts w:ascii="Times New Roman" w:hAnsi="Times New Roman" w:eastAsia="Times New Roman"/>
          <w:b w:val="0"/>
          <w:i w:val="0"/>
          <w:sz w:val="22"/>
        </w:rPr>
        <w:t xml:space="preserve">; </w:t>
      </w:r>
      <m:oMath>
        <m:r>
          <m:rPr>
            <m:sty m:val="i"/>
          </m:rPr>
          <m:t xml:space="preserve">β</m:t>
        </m:r>
        <m:r>
          <m:rPr>
            <m:sty m:val="p"/>
          </m:rPr>
          <m:t xml:space="preserve"> = 1</m:t>
        </m:r>
      </m:oMath>
      <w:r>
        <w:rPr>
          <w:rFonts w:ascii="Times New Roman" w:hAnsi="Times New Roman" w:eastAsia="Times New Roman"/>
          <w:b w:val="0"/>
          <w:i w:val="0"/>
          <w:sz w:val="22"/>
        </w:rPr>
        <w:t xml:space="preserve"> is pink noise. The spectrum is near-white for </w:t>
      </w:r>
      <m:oMath>
        <m:r>
          <m:rPr>
            <m:sty m:val="i"/>
          </m:rPr>
          <m:t xml:space="preserve">f</m:t>
        </m:r>
        <m:r>
          <m:rPr>
            <m:sty m:val="p"/>
          </m:rPr>
          <m:t xml:space="preserve"> ≲ 0.009–0.015</m:t>
        </m:r>
      </m:oMath>
      <w:r>
        <w:rPr>
          <w:rFonts w:ascii="Times New Roman" w:hAnsi="Times New Roman" w:eastAsia="Times New Roman"/>
          <w:b w:val="0"/>
          <w:i w:val="0"/>
          <w:sz w:val="22"/>
        </w:rPr>
        <w:t xml:space="preserve">; linearly spaced bins still let the decaying band dominate Eq. (3). Restricting that fit to the decaying band steepens </w:t>
      </w:r>
      <m:oMath>
        <m:r>
          <m:rPr>
            <m:sty m:val="i"/>
          </m:rPr>
          <m:t xml:space="preserve">β</m:t>
        </m:r>
      </m:oMath>
      <w:r>
        <w:rPr>
          <w:rFonts w:ascii="Times New Roman" w:hAnsi="Times New Roman" w:eastAsia="Times New Roman"/>
          <w:b w:val="0"/>
          <w:i w:val="0"/>
          <w:sz w:val="22"/>
        </w:rPr>
        <w:t xml:space="preserve"> by about 0.13–0.20 but does not change language rank. White, pink, and brown noise anchors give </w:t>
      </w:r>
      <m:oMath>
        <m:acc>
          <m:accPr>
            <m:chr m:val="̃"/>
          </m:accPr>
          <m:e>
            <m:r>
              <m:rPr>
                <m:sty m:val="i"/>
              </m:rPr>
              <m:t xml:space="preserve">H</m:t>
            </m:r>
          </m:e>
        </m:acc>
        <m:r>
          <m:rPr>
            <m:sty m:val="p"/>
          </m:rPr>
          <m:t xml:space="preserve"> ≈ 0.955, 0.747, and 0.253</m:t>
        </m:r>
      </m:oMath>
      <w:r>
        <w:rPr>
          <w:rFonts w:ascii="Times New Roman" w:hAnsi="Times New Roman" w:eastAsia="Times New Roman"/>
          <w:b w:val="0"/>
          <w:i w:val="0"/>
          <w:sz w:val="22"/>
        </w:rPr>
        <w:t xml:space="preserve"> via Eqs. (1)–(2). Literary hop-depth lies between white and pink.</w:t>
      </w:r>
    </w:p>
    <w:p>
      <w:pPr>
        <w:spacing w:after="40" w:before="0" w:line="276" w:lineRule="auto"/>
        <w:jc w:val="both"/>
      </w:pPr>
      <w:r>
        <w:rPr>
          <w:rFonts w:ascii="Times New Roman" w:hAnsi="Times New Roman" w:eastAsia="Times New Roman"/>
          <w:b/>
          <w:i w:val="0"/>
          <w:sz w:val="22"/>
        </w:rPr>
        <w:t xml:space="preserve">Normalized composition Shannon entropy (real space). </w:t>
      </w:r>
      <w:r>
        <w:rPr>
          <w:rFonts w:ascii="Times New Roman" w:hAnsi="Times New Roman" w:eastAsia="Times New Roman"/>
          <w:b w:val="0"/>
          <w:i w:val="0"/>
          <w:sz w:val="22"/>
        </w:rPr>
        <w:t>Separately we compute composition Shannon entropy on the book text itself (real space), not spectral entropy H from Eq. (1) and not an amplitude envelope. Each distinct Unicode character is a symbol, including spaces, punctuation, and case. We use the plug-in estimator [10,11]</w:t>
      </w:r>
    </w:p>
    <w:p>
      <w:pPr>
        <w:spacing w:before="160" w:after="160" w:line="276" w:lineRule="auto"/>
        <w:jc w:val="center"/>
      </w:pPr>
      <m:oMathPara>
        <m:oMathParaPr>
          <m:jc m:val="center"/>
        </m:oMathParaPr>
        <m:oMath>
          <m:r>
            <m:rPr>
              <m:sty m:val="i"/>
            </m:rPr>
            <m:t xml:space="preserve">S</m:t>
          </m:r>
          <m:r>
            <m:rPr>
              <m:sty m:val="p"/>
            </m:rPr>
            <m:t xml:space="preserve"> = −</m:t>
          </m:r>
          <m:nary>
            <m:naryPr>
              <m:chr m:val="∑"/>
              <m:limLoc m:val="undOvr"/>
              <m:supHide m:val="1"/>
            </m:naryPr>
            <m:sub>
              <m:r>
                <m:rPr>
                  <m:sty m:val="i"/>
                </m:rPr>
                <m:t xml:space="preserve">c</m:t>
              </m:r>
            </m:sub>
            <m:sup/>
            <m:e>
              <m:sSub>
                <m:e>
                  <m:r>
                    <m:rPr>
                      <m:sty m:val="i"/>
                    </m:rPr>
                    <m:t xml:space="preserve">p</m:t>
                  </m:r>
                </m:e>
                <m:sub>
                  <m:r>
                    <m:rPr>
                      <m:sty m:val="i"/>
                    </m:rPr>
                    <m:t xml:space="preserve">c</m:t>
                  </m:r>
                </m:sub>
              </m:sSub>
              <m:r>
                <m:rPr>
                  <m:sty m:val="p"/>
                </m:rPr>
                <m:t xml:space="preserve"> </m:t>
              </m:r>
              <m:sSub>
                <m:e>
                  <m:r>
                    <m:rPr>
                      <m:sty m:val="p"/>
                    </m:rPr>
                    <m:t xml:space="preserve">log</m:t>
                  </m:r>
                </m:e>
                <m:sub>
                  <m:r>
                    <m:rPr>
                      <m:sty m:val="p"/>
                    </m:rPr>
                    <m:t xml:space="preserve">2</m:t>
                  </m:r>
                </m:sub>
              </m:sSub>
              <m:r>
                <m:rPr>
                  <m:sty m:val="p"/>
                </m:rPr>
                <m:t xml:space="preserve"> </m:t>
              </m:r>
              <m:sSub>
                <m:e>
                  <m:r>
                    <m:rPr>
                      <m:sty m:val="i"/>
                    </m:rPr>
                    <m:t xml:space="preserve">p</m:t>
                  </m:r>
                </m:e>
                <m:sub>
                  <m:r>
                    <m:rPr>
                      <m:sty m:val="i"/>
                    </m:rPr>
                    <m:t xml:space="preserve">c</m:t>
                  </m:r>
                </m:sub>
              </m:sSub>
            </m:e>
          </m:nary>
          <m:r>
            <m:rPr>
              <m:sty m:val="p"/>
            </m:rPr>
            <m:t xml:space="preserve">,     </m:t>
          </m:r>
          <m:sSub>
            <m:e>
              <m:r>
                <m:rPr>
                  <m:sty m:val="i"/>
                </m:rPr>
                <m:t xml:space="preserve">p</m:t>
              </m:r>
            </m:e>
            <m:sub>
              <m:r>
                <m:rPr>
                  <m:sty m:val="i"/>
                </m:rPr>
                <m:t xml:space="preserve">c</m:t>
              </m:r>
            </m:sub>
          </m:sSub>
          <m:r>
            <m:rPr>
              <m:sty m:val="p"/>
            </m:rPr>
            <m:t xml:space="preserve"> = </m:t>
          </m:r>
          <m:f>
            <m:num>
              <m:sSub>
                <m:e>
                  <m:r>
                    <m:rPr>
                      <m:sty m:val="i"/>
                    </m:rPr>
                    <m:t xml:space="preserve">n</m:t>
                  </m:r>
                </m:e>
                <m:sub>
                  <m:r>
                    <m:rPr>
                      <m:sty m:val="i"/>
                    </m:rPr>
                    <m:t xml:space="preserve">c</m:t>
                  </m:r>
                </m:sub>
              </m:sSub>
            </m:num>
            <m:den>
              <m:sSub>
                <m:e>
                  <m:r>
                    <m:rPr>
                      <m:sty m:val="i"/>
                    </m:rPr>
                    <m:t xml:space="preserve">N</m:t>
                  </m:r>
                </m:e>
                <m:sub>
                  <m:r>
                    <m:rPr>
                      <m:sty m:val="p"/>
                    </m:rPr>
                    <m:t xml:space="preserve">char</m:t>
                  </m:r>
                </m:sub>
              </m:sSub>
            </m:den>
          </m:f>
          <m:r>
            <m:rPr>
              <m:sty m:val="p"/>
            </m:rPr>
            <m:t xml:space="preserve">.</m:t>
          </m:r>
        </m:oMath>
      </m:oMathPara>
    </w:p>
    <w:p>
      <w:pPr>
        <w:spacing w:after="40" w:before="0" w:line="276" w:lineRule="auto"/>
        <w:jc w:val="both"/>
      </w:pPr>
      <w:r>
        <w:rPr>
          <w:rFonts w:ascii="Times New Roman" w:hAnsi="Times New Roman" w:eastAsia="Times New Roman"/>
          <w:b w:val="0"/>
          <w:i w:val="0"/>
          <w:sz w:val="22"/>
        </w:rPr>
        <w:t>This is the maximum-likelihood estimator of Shannon entropy [14]. Shannon used the same estimator for printed English [11]. At the character counts of a novel, plug-in bias is negligible at the precision we report [15]. Following Eq. (2) we report the unit-interval score</w:t>
      </w:r>
    </w:p>
    <w:p>
      <w:pPr>
        <w:spacing w:before="160" w:after="160" w:line="276" w:lineRule="auto"/>
        <w:jc w:val="center"/>
      </w:pPr>
      <m:oMathPara>
        <m:oMathParaPr>
          <m:jc m:val="center"/>
        </m:oMathParaPr>
        <m:oMath>
          <m:acc>
            <m:accPr>
              <m:chr m:val="̃"/>
            </m:accPr>
            <m:e>
              <m:r>
                <m:rPr>
                  <m:sty m:val="i"/>
                </m:rPr>
                <m:t xml:space="preserve">S</m:t>
              </m:r>
            </m:e>
          </m:acc>
          <m:r>
            <m:rPr>
              <m:sty m:val="p"/>
            </m:rPr>
            <m:t xml:space="preserve"> = </m:t>
          </m:r>
          <m:f>
            <m:num>
              <m:r>
                <m:rPr>
                  <m:sty m:val="i"/>
                </m:rPr>
                <m:t xml:space="preserve">S</m:t>
              </m:r>
            </m:num>
            <m:den>
              <m:sSub>
                <m:e>
                  <m:r>
                    <m:rPr>
                      <m:sty m:val="p"/>
                    </m:rPr>
                    <m:t xml:space="preserve">log</m:t>
                  </m:r>
                </m:e>
                <m:sub>
                  <m:r>
                    <m:rPr>
                      <m:sty m:val="p"/>
                    </m:rPr>
                    <m:t xml:space="preserve">2</m:t>
                  </m:r>
                </m:sub>
              </m:sSub>
              <m:r>
                <m:rPr>
                  <m:sty m:val="p"/>
                </m:rPr>
                <m:t xml:space="preserve"> </m:t>
              </m:r>
              <m:r>
                <m:rPr>
                  <m:sty m:val="i"/>
                </m:rPr>
                <m:t xml:space="preserve">A</m:t>
              </m:r>
            </m:den>
          </m:f>
          <m:r>
            <m:rPr>
              <m:sty m:val="p"/>
            </m:rPr>
            <m:t xml:space="preserve">.</m:t>
          </m:r>
        </m:oMath>
      </m:oMathPara>
    </w:p>
    <w:p>
      <w:pPr>
        <w:spacing w:after="160" w:before="0" w:line="276" w:lineRule="auto"/>
        <w:jc w:val="both"/>
      </w:pPr>
      <w:r>
        <w:rPr>
          <w:rFonts w:ascii="Times New Roman" w:hAnsi="Times New Roman" w:eastAsia="Times New Roman"/>
          <w:b w:val="0"/>
          <w:i w:val="0"/>
          <w:sz w:val="22"/>
        </w:rPr>
        <w:t xml:space="preserve">where </w:t>
      </w:r>
      <m:oMath>
        <m:r>
          <m:rPr>
            <m:sty m:val="i"/>
          </m:rPr>
          <m:t xml:space="preserve">A</m:t>
        </m:r>
      </m:oMath>
      <w:r>
        <w:rPr>
          <w:rFonts w:ascii="Times New Roman" w:hAnsi="Times New Roman" w:eastAsia="Times New Roman"/>
          <w:b w:val="0"/>
          <w:i w:val="0"/>
          <w:sz w:val="22"/>
        </w:rPr>
        <w:t xml:space="preserve"> is the number of distinct characters. </w:t>
      </w:r>
      <m:oMath>
        <m:acc>
          <m:accPr>
            <m:chr m:val="̃"/>
          </m:accPr>
          <m:e>
            <m:r>
              <m:rPr>
                <m:sty m:val="i"/>
              </m:rPr>
              <m:t xml:space="preserve">S</m:t>
            </m:r>
          </m:e>
        </m:acc>
      </m:oMath>
      <w:r>
        <w:rPr>
          <w:rFonts w:ascii="Times New Roman" w:hAnsi="Times New Roman" w:eastAsia="Times New Roman"/>
          <w:b w:val="0"/>
          <w:i w:val="0"/>
          <w:sz w:val="22"/>
        </w:rPr>
        <w:t xml:space="preserve"> does not use the hop-depth series. We do not bin amplitudes and we do not sample an envelope </w:t>
      </w:r>
      <m:oMath>
        <m:r>
          <m:rPr>
            <m:sty m:val="i"/>
          </m:rPr>
          <m:t xml:space="preserve">P</m:t>
        </m:r>
        <m:d>
          <m:dPr>
            <m:begChr m:val="("/>
            <m:endChr m:val=")"/>
          </m:dPr>
          <m:e>
            <m:r>
              <m:rPr>
                <m:sty m:val="i"/>
              </m:rPr>
              <m:t xml:space="preserve">t</m:t>
            </m:r>
          </m:e>
        </m:d>
      </m:oMath>
      <w:r>
        <w:rPr>
          <w:rFonts w:ascii="Times New Roman" w:hAnsi="Times New Roman" w:eastAsia="Times New Roman"/>
          <w:b w:val="0"/>
          <w:i w:val="0"/>
          <w:sz w:val="22"/>
        </w:rPr>
        <w:t>.</w:t>
      </w:r>
    </w:p>
    <w:p>
      <w:pPr>
        <w:spacing w:after="40" w:before="0" w:line="276" w:lineRule="auto"/>
        <w:jc w:val="both"/>
      </w:pPr>
      <w:r>
        <w:rPr>
          <w:rFonts w:ascii="Times New Roman" w:hAnsi="Times New Roman" w:eastAsia="Times New Roman"/>
          <w:b w:val="0"/>
          <w:i w:val="0"/>
          <w:sz w:val="22"/>
        </w:rPr>
        <w:t xml:space="preserve">The same cat-mat sentence used for MHD makes the count concrete. For </w:t>
      </w:r>
      <m:oMath>
        <m:r>
          <m:rPr>
            <m:sty m:val="i"/>
          </m:rPr>
          <m:t xml:space="preserve">The cat sat on the mat.</m:t>
        </m:r>
      </m:oMath>
      <w:r>
        <w:rPr>
          <w:rFonts w:ascii="Times New Roman" w:hAnsi="Times New Roman" w:eastAsia="Times New Roman"/>
          <w:b w:val="0"/>
          <w:i w:val="0"/>
          <w:sz w:val="22"/>
        </w:rPr>
        <w:t xml:space="preserve"> we have </w:t>
      </w:r>
      <m:oMath>
        <m:sSub>
          <m:e>
            <m:r>
              <m:rPr>
                <m:sty m:val="i"/>
              </m:rPr>
              <m:t xml:space="preserve">N</m:t>
            </m:r>
          </m:e>
          <m:sub>
            <m:r>
              <m:rPr>
                <m:sty m:val="p"/>
              </m:rPr>
              <m:t xml:space="preserve">char</m:t>
            </m:r>
          </m:sub>
        </m:sSub>
        <m:r>
          <m:rPr>
            <m:sty m:val="p"/>
          </m:rPr>
          <m:t xml:space="preserve"> = 23</m:t>
        </m:r>
      </m:oMath>
      <w:r>
        <w:rPr>
          <w:rFonts w:ascii="Times New Roman" w:hAnsi="Times New Roman" w:eastAsia="Times New Roman"/>
          <w:b w:val="0"/>
          <w:i w:val="0"/>
          <w:sz w:val="22"/>
        </w:rPr>
        <w:t xml:space="preserve"> characters and 12 distinct symbols (Table 1). Then</w:t>
      </w:r>
    </w:p>
    <w:p>
      <w:pPr>
        <w:spacing w:before="160" w:after="160" w:line="276" w:lineRule="auto"/>
        <w:jc w:val="center"/>
      </w:pPr>
      <m:oMathPara>
        <m:oMathParaPr>
          <m:jc m:val="center"/>
        </m:oMathParaPr>
        <m:oMath>
          <m:r>
            <m:rPr>
              <m:sty m:val="i"/>
            </m:rPr>
            <m:t xml:space="preserve">S</m:t>
          </m:r>
          <m:r>
            <m:rPr>
              <m:sty m:val="p"/>
            </m:rPr>
            <m:t xml:space="preserve"> = −</m:t>
          </m:r>
          <m:f>
            <m:num>
              <m:r>
                <m:rPr>
                  <m:sty m:val="p"/>
                </m:rPr>
                <m:t xml:space="preserve">5</m:t>
              </m:r>
            </m:num>
            <m:den>
              <m:r>
                <m:rPr>
                  <m:sty m:val="p"/>
                </m:rPr>
                <m:t xml:space="preserve">23</m:t>
              </m:r>
            </m:den>
          </m:f>
          <m:sSub>
            <m:e>
              <m:r>
                <m:rPr>
                  <m:sty m:val="p"/>
                </m:rPr>
                <m:t xml:space="preserve">log</m:t>
              </m:r>
            </m:e>
            <m:sub>
              <m:r>
                <m:rPr>
                  <m:sty m:val="p"/>
                </m:rPr>
                <m:t xml:space="preserve">2</m:t>
              </m:r>
            </m:sub>
          </m:sSub>
          <m:f>
            <m:num>
              <m:r>
                <m:rPr>
                  <m:sty m:val="p"/>
                </m:rPr>
                <m:t xml:space="preserve">5</m:t>
              </m:r>
            </m:num>
            <m:den>
              <m:r>
                <m:rPr>
                  <m:sty m:val="p"/>
                </m:rPr>
                <m:t xml:space="preserve">23</m:t>
              </m:r>
            </m:den>
          </m:f>
          <m:r>
            <m:rPr>
              <m:sty m:val="p"/>
            </m:rPr>
            <m:t xml:space="preserve"> − </m:t>
          </m:r>
          <m:f>
            <m:num>
              <m:r>
                <m:rPr>
                  <m:sty m:val="p"/>
                </m:rPr>
                <m:t xml:space="preserve">4</m:t>
              </m:r>
            </m:num>
            <m:den>
              <m:r>
                <m:rPr>
                  <m:sty m:val="p"/>
                </m:rPr>
                <m:t xml:space="preserve">23</m:t>
              </m:r>
            </m:den>
          </m:f>
          <m:sSub>
            <m:e>
              <m:r>
                <m:rPr>
                  <m:sty m:val="p"/>
                </m:rPr>
                <m:t xml:space="preserve">log</m:t>
              </m:r>
            </m:e>
            <m:sub>
              <m:r>
                <m:rPr>
                  <m:sty m:val="p"/>
                </m:rPr>
                <m:t xml:space="preserve">2</m:t>
              </m:r>
            </m:sub>
          </m:sSub>
          <m:f>
            <m:num>
              <m:r>
                <m:rPr>
                  <m:sty m:val="p"/>
                </m:rPr>
                <m:t xml:space="preserve">4</m:t>
              </m:r>
            </m:num>
            <m:den>
              <m:r>
                <m:rPr>
                  <m:sty m:val="p"/>
                </m:rPr>
                <m:t xml:space="preserve">23</m:t>
              </m:r>
            </m:den>
          </m:f>
          <m:r>
            <m:rPr>
              <m:sty m:val="p"/>
            </m:rPr>
            <m:t xml:space="preserve"> − ⋯  = 3.29 bits/char, so </m:t>
          </m:r>
          <m:acc>
            <m:accPr>
              <m:chr m:val="̃"/>
            </m:accPr>
            <m:e>
              <m:r>
                <m:rPr>
                  <m:sty m:val="i"/>
                </m:rPr>
                <m:t xml:space="preserve">S</m:t>
              </m:r>
            </m:e>
          </m:acc>
          <m:r>
            <m:rPr>
              <m:sty m:val="p"/>
            </m:rPr>
            <m:t xml:space="preserve"> = 3.29 / </m:t>
          </m:r>
          <m:sSub>
            <m:e>
              <m:r>
                <m:rPr>
                  <m:sty m:val="p"/>
                </m:rPr>
                <m:t xml:space="preserve">log</m:t>
              </m:r>
            </m:e>
            <m:sub>
              <m:r>
                <m:rPr>
                  <m:sty m:val="p"/>
                </m:rPr>
                <m:t xml:space="preserve">2</m:t>
              </m:r>
            </m:sub>
          </m:sSub>
          <m:r>
            <m:rPr>
              <m:sty m:val="p"/>
            </m:rPr>
            <m:t xml:space="preserve"> 12 = 0.92.</m:t>
          </m:r>
        </m:oMath>
      </m:oMathPara>
    </w:p>
    <w:p>
      <w:pPr>
        <w:spacing w:after="160" w:before="0" w:line="276" w:lineRule="auto"/>
        <w:jc w:val="both"/>
      </w:pPr>
      <w:r>
        <w:rPr>
          <w:rFonts w:ascii="Times New Roman" w:hAnsi="Times New Roman" w:eastAsia="Times New Roman"/>
          <w:b w:val="0"/>
          <w:i w:val="0"/>
          <w:sz w:val="22"/>
        </w:rPr>
        <w:t xml:space="preserve">A book-length English text lands near </w:t>
      </w:r>
      <m:oMath>
        <m:acc>
          <m:accPr>
            <m:chr m:val="̃"/>
          </m:accPr>
          <m:e>
            <m:r>
              <m:rPr>
                <m:sty m:val="i"/>
              </m:rPr>
              <m:t xml:space="preserve">S</m:t>
            </m:r>
          </m:e>
        </m:acc>
        <m:r>
          <m:rPr>
            <m:sty m:val="p"/>
          </m:rPr>
          <m:t xml:space="preserve"> = 0.70</m:t>
        </m:r>
      </m:oMath>
      <w:r>
        <w:rPr>
          <w:rFonts w:ascii="Times New Roman" w:hAnsi="Times New Roman" w:eastAsia="Times New Roman"/>
          <w:b w:val="0"/>
          <w:i w:val="0"/>
          <w:sz w:val="22"/>
        </w:rPr>
        <w:t xml:space="preserve"> because rare letters, digits, and punctuation enlarge </w:t>
      </w:r>
      <m:oMath>
        <m:r>
          <m:rPr>
            <m:sty m:val="i"/>
          </m:rPr>
          <m:t xml:space="preserve">A</m:t>
        </m:r>
      </m:oMath>
      <w:r>
        <w:rPr>
          <w:rFonts w:ascii="Times New Roman" w:hAnsi="Times New Roman" w:eastAsia="Times New Roman"/>
          <w:b w:val="0"/>
          <w:i w:val="0"/>
          <w:sz w:val="22"/>
        </w:rPr>
        <w:t xml:space="preserve"> faster than they raise </w:t>
      </w:r>
      <m:oMath>
        <m:r>
          <m:rPr>
            <m:sty m:val="i"/>
          </m:rPr>
          <m:t xml:space="preserve">S</m:t>
        </m:r>
      </m:oMath>
      <w:r>
        <w:rPr>
          <w:rFonts w:ascii="Times New Roman" w:hAnsi="Times New Roman" w:eastAsia="Times New Roman"/>
          <w:b w:val="0"/>
          <w:i w:val="0"/>
          <w:sz w:val="22"/>
        </w:rPr>
        <w:t xml:space="preserve">. Language means of </w:t>
      </w:r>
      <m:oMath>
        <m:acc>
          <m:accPr>
            <m:chr m:val="̃"/>
          </m:accPr>
          <m:e>
            <m:r>
              <m:rPr>
                <m:sty m:val="i"/>
              </m:rPr>
              <m:t xml:space="preserve">S</m:t>
            </m:r>
          </m:e>
        </m:acc>
      </m:oMath>
      <w:r>
        <w:rPr>
          <w:rFonts w:ascii="Times New Roman" w:hAnsi="Times New Roman" w:eastAsia="Times New Roman"/>
          <w:b w:val="0"/>
          <w:i w:val="0"/>
          <w:sz w:val="22"/>
        </w:rPr>
        <w:t xml:space="preserve"> appear in Table 2.</w:t>
      </w:r>
    </w:p>
    <w:p>
      <w:pPr>
        <w:spacing w:before="240" w:after="120"/>
        <w:jc w:val="left"/>
      </w:pPr>
      <w:r>
        <w:rPr>
          <w:rFonts w:ascii="Times New Roman" w:hAnsi="Times New Roman" w:eastAsia="Times New Roman"/>
          <w:b/>
          <w:i w:val="0"/>
          <w:sz w:val="20"/>
        </w:rPr>
        <w:t xml:space="preserve">Table 1.  </w:t>
      </w:r>
      <w:r>
        <w:rPr>
          <w:rFonts w:ascii="Times New Roman" w:hAnsi="Times New Roman" w:eastAsia="Times New Roman"/>
          <w:b w:val="0"/>
          <w:i/>
          <w:sz w:val="20"/>
        </w:rPr>
        <w:t>Real-space character counts for “The cat sat on the mat.”  S = 3.29 bits/char; S̃ = 0.92.</w:t>
      </w:r>
    </w:p>
    <w:tbl>
      <w:tblPr>
        <w:tblW w:type="auto" w:w="0"/>
        <w:jc w:val="center"/>
        <w:tblLayout w:type="autofit"/>
        <w:tblLook w:firstColumn="1" w:firstRow="1" w:lastColumn="0" w:lastRow="0" w:noHBand="0" w:noVBand="1" w:val="04A0"/>
        <w:tblBorders>
          <w:top w:val="single" w:sz="12" w:space="0" w:color="000000"/>
          <w:left w:val="nil"/>
          <w:bottom w:val="single" w:sz="12" w:space="0" w:color="000000"/>
          <w:right w:val="nil"/>
          <w:insideH w:val="single" w:sz="4" w:space="0" w:color="BFBFBF"/>
          <w:insideV w:val="nil"/>
        </w:tblBorders>
      </w:tblPr>
      <w:tblGrid>
        <w:gridCol w:w="2466"/>
        <w:gridCol w:w="2466"/>
        <w:gridCol w:w="2466"/>
        <w:gridCol w:w="2466"/>
      </w:tblGrid>
      <w:tr>
        <w:tc>
          <w:tcPr>
            <w:tcW w:type="dxa" w:w="2466"/>
            <w:shd w:val="clear" w:color="auto" w:fill="E8E8E8"/>
            <w:tcMar>
              <w:top w:w="60" w:type="dxa"/>
              <w:left w:w="80" w:type="dxa"/>
              <w:bottom w:w="60" w:type="dxa"/>
              <w:right w:w="80" w:type="dxa"/>
            </w:tcMar>
          </w:tcPr>
          <w:p>
            <w:pPr>
              <w:spacing w:after="0" w:before="0"/>
              <w:jc w:val="left"/>
            </w:pPr>
            <w:r>
              <w:rPr>
                <w:rFonts w:ascii="Times New Roman" w:hAnsi="Times New Roman" w:eastAsia="Times New Roman"/>
                <w:b/>
                <w:i w:val="0"/>
                <w:sz w:val="20"/>
              </w:rPr>
              <w:t>Symbol</w:t>
            </w:r>
          </w:p>
        </w:tc>
        <w:tc>
          <w:tcPr>
            <w:tcW w:type="dxa" w:w="2466"/>
            <w:shd w:val="clear" w:color="auto" w:fill="E8E8E8"/>
            <w:tcMar>
              <w:top w:w="60" w:type="dxa"/>
              <w:left w:w="80" w:type="dxa"/>
              <w:bottom w:w="60" w:type="dxa"/>
              <w:right w:w="80" w:type="dxa"/>
            </w:tcMar>
          </w:tcPr>
          <w:p>
            <w:pPr>
              <w:spacing w:after="0" w:before="0"/>
              <w:jc w:val="center"/>
            </w:pPr>
            <w:r>
              <w:rPr>
                <w:rFonts w:ascii="Times New Roman" w:hAnsi="Times New Roman" w:eastAsia="Times New Roman"/>
                <w:b/>
                <w:i w:val="0"/>
                <w:sz w:val="20"/>
              </w:rPr>
              <w:t>Count n</w:t>
            </w:r>
          </w:p>
        </w:tc>
        <w:tc>
          <w:tcPr>
            <w:tcW w:type="dxa" w:w="2466"/>
            <w:shd w:val="clear" w:color="auto" w:fill="E8E8E8"/>
            <w:tcMar>
              <w:top w:w="60" w:type="dxa"/>
              <w:left w:w="80" w:type="dxa"/>
              <w:bottom w:w="60" w:type="dxa"/>
              <w:right w:w="80" w:type="dxa"/>
            </w:tcMar>
          </w:tcPr>
          <w:p>
            <w:pPr>
              <w:spacing w:after="0" w:before="0"/>
              <w:jc w:val="center"/>
            </w:pPr>
            <w:r>
              <w:rPr>
                <w:rFonts w:ascii="Times New Roman" w:hAnsi="Times New Roman" w:eastAsia="Times New Roman"/>
                <w:b/>
                <w:i w:val="0"/>
                <w:sz w:val="20"/>
              </w:rPr>
              <w:t>p = n / 23</w:t>
            </w:r>
          </w:p>
        </w:tc>
        <w:tc>
          <w:tcPr>
            <w:tcW w:type="dxa" w:w="2466"/>
            <w:shd w:val="clear" w:color="auto" w:fill="E8E8E8"/>
            <w:tcMar>
              <w:top w:w="60" w:type="dxa"/>
              <w:left w:w="80" w:type="dxa"/>
              <w:bottom w:w="60" w:type="dxa"/>
              <w:right w:w="80" w:type="dxa"/>
            </w:tcMar>
          </w:tcPr>
          <w:p>
            <w:pPr>
              <w:spacing w:after="0" w:before="0"/>
              <w:jc w:val="center"/>
            </w:pPr>
            <w:r>
              <w:rPr>
                <w:rFonts w:ascii="Times New Roman" w:hAnsi="Times New Roman" w:eastAsia="Times New Roman"/>
                <w:b/>
                <w:i w:val="0"/>
                <w:sz w:val="20"/>
              </w:rPr>
              <w:t>p (decimal)</w:t>
            </w:r>
          </w:p>
        </w:tc>
      </w:tr>
      <w:tr>
        <w:tc>
          <w:tcPr>
            <w:tcW w:type="dxa" w:w="2466"/>
            <w:tcMar>
              <w:top w:w="60" w:type="dxa"/>
              <w:left w:w="80" w:type="dxa"/>
              <w:bottom w:w="60" w:type="dxa"/>
              <w:right w:w="80" w:type="dxa"/>
            </w:tcMar>
          </w:tcPr>
          <w:p>
            <w:pPr>
              <w:spacing w:after="0" w:before="0"/>
              <w:jc w:val="left"/>
            </w:pPr>
            <w:r>
              <w:rPr>
                <w:rFonts w:ascii="Times New Roman" w:hAnsi="Times New Roman" w:eastAsia="Times New Roman"/>
                <w:b/>
                <w:i w:val="0"/>
                <w:sz w:val="20"/>
              </w:rPr>
              <w:t>space</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5</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5/23</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0.217</w:t>
            </w:r>
          </w:p>
        </w:tc>
      </w:tr>
      <w:tr>
        <w:tc>
          <w:tcPr>
            <w:tcW w:type="dxa" w:w="2466"/>
            <w:tcMar>
              <w:top w:w="60" w:type="dxa"/>
              <w:left w:w="80" w:type="dxa"/>
              <w:bottom w:w="60" w:type="dxa"/>
              <w:right w:w="80" w:type="dxa"/>
            </w:tcMar>
          </w:tcPr>
          <w:p>
            <w:pPr>
              <w:spacing w:after="0" w:before="0"/>
              <w:jc w:val="left"/>
            </w:pPr>
            <w:r>
              <w:rPr>
                <w:rFonts w:ascii="Times New Roman" w:hAnsi="Times New Roman" w:eastAsia="Times New Roman"/>
                <w:b/>
                <w:i w:val="0"/>
                <w:sz w:val="20"/>
              </w:rPr>
              <w:t>t</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4</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4/23</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0.174</w:t>
            </w:r>
          </w:p>
        </w:tc>
      </w:tr>
      <w:tr>
        <w:tc>
          <w:tcPr>
            <w:tcW w:type="dxa" w:w="2466"/>
            <w:tcMar>
              <w:top w:w="60" w:type="dxa"/>
              <w:left w:w="80" w:type="dxa"/>
              <w:bottom w:w="60" w:type="dxa"/>
              <w:right w:w="80" w:type="dxa"/>
            </w:tcMar>
          </w:tcPr>
          <w:p>
            <w:pPr>
              <w:spacing w:after="0" w:before="0"/>
              <w:jc w:val="left"/>
            </w:pPr>
            <w:r>
              <w:rPr>
                <w:rFonts w:ascii="Times New Roman" w:hAnsi="Times New Roman" w:eastAsia="Times New Roman"/>
                <w:b/>
                <w:i w:val="0"/>
                <w:sz w:val="20"/>
              </w:rPr>
              <w:t>a</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3</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3/23</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0.130</w:t>
            </w:r>
          </w:p>
        </w:tc>
      </w:tr>
      <w:tr>
        <w:tc>
          <w:tcPr>
            <w:tcW w:type="dxa" w:w="2466"/>
            <w:tcMar>
              <w:top w:w="60" w:type="dxa"/>
              <w:left w:w="80" w:type="dxa"/>
              <w:bottom w:w="60" w:type="dxa"/>
              <w:right w:w="80" w:type="dxa"/>
            </w:tcMar>
          </w:tcPr>
          <w:p>
            <w:pPr>
              <w:spacing w:after="0" w:before="0"/>
              <w:jc w:val="left"/>
            </w:pPr>
            <w:r>
              <w:rPr>
                <w:rFonts w:ascii="Times New Roman" w:hAnsi="Times New Roman" w:eastAsia="Times New Roman"/>
                <w:b/>
                <w:i w:val="0"/>
                <w:sz w:val="20"/>
              </w:rPr>
              <w:t>e</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2</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2/23</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0.087</w:t>
            </w:r>
          </w:p>
        </w:tc>
      </w:tr>
      <w:tr>
        <w:tc>
          <w:tcPr>
            <w:tcW w:type="dxa" w:w="2466"/>
            <w:tcMar>
              <w:top w:w="60" w:type="dxa"/>
              <w:left w:w="80" w:type="dxa"/>
              <w:bottom w:w="60" w:type="dxa"/>
              <w:right w:w="80" w:type="dxa"/>
            </w:tcMar>
          </w:tcPr>
          <w:p>
            <w:pPr>
              <w:spacing w:after="0" w:before="0"/>
              <w:jc w:val="left"/>
            </w:pPr>
            <w:r>
              <w:rPr>
                <w:rFonts w:ascii="Times New Roman" w:hAnsi="Times New Roman" w:eastAsia="Times New Roman"/>
                <w:b/>
                <w:i w:val="0"/>
                <w:sz w:val="20"/>
              </w:rPr>
              <w:t>h</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2</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2/23</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0.087</w:t>
            </w:r>
          </w:p>
        </w:tc>
      </w:tr>
      <w:tr>
        <w:tc>
          <w:tcPr>
            <w:tcW w:type="dxa" w:w="2466"/>
            <w:tcMar>
              <w:top w:w="60" w:type="dxa"/>
              <w:left w:w="80" w:type="dxa"/>
              <w:bottom w:w="60" w:type="dxa"/>
              <w:right w:w="80" w:type="dxa"/>
            </w:tcMar>
          </w:tcPr>
          <w:p>
            <w:pPr>
              <w:spacing w:after="0" w:before="0"/>
              <w:jc w:val="left"/>
            </w:pPr>
            <w:r>
              <w:rPr>
                <w:rFonts w:ascii="Times New Roman" w:hAnsi="Times New Roman" w:eastAsia="Times New Roman"/>
                <w:b/>
                <w:i w:val="0"/>
                <w:sz w:val="20"/>
              </w:rPr>
              <w:t>T, c, m, n, o, s, .</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1 each</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1/23</w:t>
            </w:r>
          </w:p>
        </w:tc>
        <w:tc>
          <w:tcPr>
            <w:tcW w:type="dxa" w:w="2466"/>
            <w:tcMar>
              <w:top w:w="60" w:type="dxa"/>
              <w:left w:w="80" w:type="dxa"/>
              <w:bottom w:w="60" w:type="dxa"/>
              <w:right w:w="80" w:type="dxa"/>
            </w:tcMar>
          </w:tcPr>
          <w:p>
            <w:pPr>
              <w:spacing w:after="0" w:before="0"/>
              <w:jc w:val="center"/>
            </w:pPr>
            <w:r>
              <w:rPr>
                <w:rFonts w:ascii="Times New Roman" w:hAnsi="Times New Roman" w:eastAsia="Times New Roman"/>
                <w:b w:val="0"/>
                <w:i w:val="0"/>
                <w:sz w:val="20"/>
              </w:rPr>
              <w:t>0.043</w:t>
            </w:r>
          </w:p>
        </w:tc>
      </w:tr>
    </w:tbl>
    <w:p>
      <w:pPr>
        <w:spacing w:after="160" w:before="0" w:line="276" w:lineRule="auto"/>
        <w:jc w:val="both"/>
      </w:pPr>
      <w:r>
        <w:rPr>
          <w:rFonts w:ascii="Times New Roman" w:hAnsi="Times New Roman" w:eastAsia="Times New Roman"/>
          <w:b/>
          <w:i w:val="0"/>
          <w:sz w:val="22"/>
        </w:rPr>
        <w:t xml:space="preserve">Ablations. </w:t>
      </w:r>
      <w:r>
        <w:rPr>
          <w:rFonts w:ascii="Times New Roman" w:hAnsi="Times New Roman" w:eastAsia="Times New Roman"/>
          <w:b w:val="0"/>
          <w:i w:val="0"/>
          <w:sz w:val="22"/>
        </w:rPr>
        <w:t xml:space="preserve">Unless we note otherwise, we used </w:t>
      </w:r>
      <w:r>
        <w:rPr>
          <w:rFonts w:ascii="Times New Roman" w:hAnsi="Times New Roman" w:eastAsia="Times New Roman"/>
          <w:b w:val="0"/>
          <w:i/>
          <w:sz w:val="22"/>
        </w:rPr>
        <w:t>Pride and Prejudice</w:t>
      </w:r>
      <w:r>
        <w:rPr>
          <w:rFonts w:ascii="Times New Roman" w:hAnsi="Times New Roman" w:eastAsia="Times New Roman"/>
          <w:b w:val="0"/>
          <w:i w:val="0"/>
          <w:sz w:val="22"/>
        </w:rPr>
        <w:t xml:space="preserve">, the English small parser, </w:t>
      </w:r>
      <m:oMath>
        <m:r>
          <m:rPr>
            <m:sty m:val="i"/>
          </m:rPr>
          <m:t xml:space="preserve">E</m:t>
        </m:r>
        <m:d>
          <m:dPr>
            <m:begChr m:val="("/>
            <m:endChr m:val=")"/>
          </m:dPr>
          <m:e>
            <m:r>
              <m:rPr>
                <m:sty m:val="i"/>
              </m:rPr>
              <m:t xml:space="preserve">f</m:t>
            </m:r>
          </m:e>
        </m:d>
      </m:oMath>
      <w:r>
        <w:rPr>
          <w:rFonts w:ascii="Times New Roman" w:hAnsi="Times New Roman" w:eastAsia="Times New Roman"/>
          <w:b w:val="0"/>
          <w:i w:val="0"/>
          <w:sz w:val="22"/>
        </w:rPr>
        <w:t xml:space="preserve">, and </w:t>
      </w:r>
      <m:oMath>
        <m:r>
          <m:rPr>
            <m:sty m:val="i"/>
          </m:rPr>
          <m:t xml:space="preserve">N</m:t>
        </m:r>
        <m:r>
          <m:rPr>
            <m:sty m:val="p"/>
          </m:rPr>
          <m:t xml:space="preserve"> = 10,000</m:t>
        </m:r>
      </m:oMath>
      <w:r>
        <w:rPr>
          <w:rFonts w:ascii="Times New Roman" w:hAnsi="Times New Roman" w:eastAsia="Times New Roman"/>
          <w:b w:val="0"/>
          <w:i w:val="0"/>
          <w:sz w:val="22"/>
        </w:rPr>
        <w:t xml:space="preserve">. White, pink, and brown noise anchors give </w:t>
      </w:r>
      <m:oMath>
        <m:acc>
          <m:accPr>
            <m:chr m:val="̃"/>
          </m:accPr>
          <m:e>
            <m:r>
              <m:rPr>
                <m:sty m:val="i"/>
              </m:rPr>
              <m:t xml:space="preserve">H</m:t>
            </m:r>
          </m:e>
        </m:acc>
        <m:r>
          <m:rPr>
            <m:sty m:val="p"/>
          </m:rPr>
          <m:t xml:space="preserve"> ≈ 0.955, 0.747, and 0.253</m:t>
        </m:r>
      </m:oMath>
      <w:r>
        <w:rPr>
          <w:rFonts w:ascii="Times New Roman" w:hAnsi="Times New Roman" w:eastAsia="Times New Roman"/>
          <w:b w:val="0"/>
          <w:i w:val="0"/>
          <w:sz w:val="22"/>
        </w:rPr>
        <w:t xml:space="preserve">. Literary hop-depth lies between white and pink, and corpus MHD anti-correlates with </w:t>
      </w:r>
      <m:oMath>
        <m:acc>
          <m:accPr>
            <m:chr m:val="̃"/>
          </m:accPr>
          <m:e>
            <m:r>
              <m:rPr>
                <m:sty m:val="i"/>
              </m:rPr>
              <m:t xml:space="preserve">H</m:t>
            </m:r>
          </m:e>
        </m:acc>
      </m:oMath>
      <w:r>
        <w:rPr>
          <w:rFonts w:ascii="Times New Roman" w:hAnsi="Times New Roman" w:eastAsia="Times New Roman"/>
          <w:b w:val="0"/>
          <w:i w:val="0"/>
          <w:sz w:val="22"/>
        </w:rPr>
        <w:t xml:space="preserve"> (Pearson </w:t>
      </w:r>
      <m:oMath>
        <m:r>
          <m:rPr>
            <m:sty m:val="i"/>
          </m:rPr>
          <m:t xml:space="preserve">r</m:t>
        </m:r>
        <m:r>
          <m:rPr>
            <m:sty m:val="p"/>
          </m:rPr>
          <m:t xml:space="preserve"> = −0.63</m:t>
        </m:r>
      </m:oMath>
      <w:r>
        <w:rPr>
          <w:rFonts w:ascii="Times New Roman" w:hAnsi="Times New Roman" w:eastAsia="Times New Roman"/>
          <w:b w:val="0"/>
          <w:i w:val="0"/>
          <w:sz w:val="22"/>
        </w:rPr>
        <w:t>).</w:t>
      </w:r>
    </w:p>
    <w:p>
      <w:pPr>
        <w:spacing w:after="160" w:before="0" w:line="276" w:lineRule="auto"/>
        <w:jc w:val="both"/>
      </w:pPr>
      <w:r>
        <w:rPr>
          <w:rFonts w:ascii="Times New Roman" w:hAnsi="Times New Roman" w:eastAsia="Times New Roman"/>
          <w:b w:val="0"/>
          <w:i w:val="0"/>
          <w:sz w:val="22"/>
        </w:rPr>
        <w:t>Sentence shuffle leaves the scaling almost unchanged (</w:t>
      </w:r>
      <m:oMath>
        <m:r>
          <m:rPr>
            <m:sty m:val="i"/>
          </m:rPr>
          <m:t xml:space="preserve">s</m:t>
        </m:r>
        <m:r>
          <m:rPr>
            <m:sty m:val="p"/>
          </m:rPr>
          <m:t xml:space="preserve"> = −1.079 → −1.066</m:t>
        </m:r>
      </m:oMath>
      <w:r>
        <w:rPr>
          <w:rFonts w:ascii="Times New Roman" w:hAnsi="Times New Roman" w:eastAsia="Times New Roman"/>
          <w:b w:val="0"/>
          <w:i w:val="0"/>
          <w:sz w:val="22"/>
        </w:rPr>
        <w:t xml:space="preserve">; Shakespeare </w:t>
      </w:r>
      <m:oMath>
        <m:r>
          <m:rPr>
            <m:sty m:val="i"/>
          </m:rPr>
          <m:t xml:space="preserve">Δs</m:t>
        </m:r>
        <m:r>
          <m:rPr>
            <m:sty m:val="p"/>
          </m:rPr>
          <m:t xml:space="preserve"> = −0.040</m:t>
        </m:r>
      </m:oMath>
      <w:r>
        <w:rPr>
          <w:rFonts w:ascii="Times New Roman" w:hAnsi="Times New Roman" w:eastAsia="Times New Roman"/>
          <w:b w:val="0"/>
          <w:i w:val="0"/>
          <w:sz w:val="22"/>
        </w:rPr>
        <w:t xml:space="preserve">). Phase randomisation leaves </w:t>
      </w:r>
      <m:oMath>
        <m:acc>
          <m:accPr>
            <m:chr m:val="̃"/>
          </m:accPr>
          <m:e>
            <m:r>
              <m:rPr>
                <m:sty m:val="i"/>
              </m:rPr>
              <m:t xml:space="preserve">H</m:t>
            </m:r>
          </m:e>
        </m:acc>
      </m:oMath>
      <w:r>
        <w:rPr>
          <w:rFonts w:ascii="Times New Roman" w:hAnsi="Times New Roman" w:eastAsia="Times New Roman"/>
          <w:b w:val="0"/>
          <w:i w:val="0"/>
          <w:sz w:val="22"/>
        </w:rPr>
        <w:t xml:space="preserve"> unchanged. A part-of-speech-constrained word shuffle followed by re-parsing stays pink. SLV [4] is much flatter (</w:t>
      </w:r>
      <m:oMath>
        <m:r>
          <m:rPr>
            <m:sty m:val="i"/>
          </m:rPr>
          <m:t xml:space="preserve">s</m:t>
        </m:r>
        <m:r>
          <m:rPr>
            <m:sty m:val="p"/>
          </m:rPr>
          <m:t xml:space="preserve"> ≈ −0.20</m:t>
        </m:r>
      </m:oMath>
      <w:r>
        <w:rPr>
          <w:rFonts w:ascii="Times New Roman" w:hAnsi="Times New Roman" w:eastAsia="Times New Roman"/>
          <w:b w:val="0"/>
          <w:i w:val="0"/>
          <w:sz w:val="22"/>
        </w:rPr>
        <w:t>) than hop-depth (</w:t>
      </w:r>
      <m:oMath>
        <m:r>
          <m:rPr>
            <m:sty m:val="i"/>
          </m:rPr>
          <m:t xml:space="preserve">s</m:t>
        </m:r>
        <m:r>
          <m:rPr>
            <m:sty m:val="p"/>
          </m:rPr>
          <m:t xml:space="preserve"> ≈ −1.08</m:t>
        </m:r>
      </m:oMath>
      <w:r>
        <w:rPr>
          <w:rFonts w:ascii="Times New Roman" w:hAnsi="Times New Roman" w:eastAsia="Times New Roman"/>
          <w:b w:val="0"/>
          <w:i w:val="0"/>
          <w:sz w:val="22"/>
        </w:rPr>
        <w:t xml:space="preserve">). Subtracting each sentence’s mean depth yields </w:t>
      </w:r>
      <m:oMath>
        <m:r>
          <m:rPr>
            <m:sty m:val="i"/>
          </m:rPr>
          <m:t xml:space="preserve">s</m:t>
        </m:r>
        <m:r>
          <m:rPr>
            <m:sty m:val="p"/>
          </m:rPr>
          <m:t xml:space="preserve"> = −0.938</m:t>
        </m:r>
      </m:oMath>
      <w:r>
        <w:rPr>
          <w:rFonts w:ascii="Times New Roman" w:hAnsi="Times New Roman" w:eastAsia="Times New Roman"/>
          <w:b w:val="0"/>
          <w:i w:val="0"/>
          <w:sz w:val="22"/>
        </w:rPr>
        <w:t xml:space="preserve">, which is not white; per-sentence mean depth tracks SLV. On twelve texts, about 76% ± 5% of </w:t>
      </w:r>
      <m:oMath>
        <m:d>
          <m:dPr>
            <m:begChr m:val="|"/>
            <m:endChr m:val="|"/>
          </m:dPr>
          <m:e>
            <m:r>
              <m:rPr>
                <m:sty m:val="i"/>
              </m:rPr>
              <m:t xml:space="preserve">s</m:t>
            </m:r>
          </m:e>
        </m:d>
      </m:oMath>
      <w:r>
        <w:rPr>
          <w:rFonts w:ascii="Times New Roman" w:hAnsi="Times New Roman" w:eastAsia="Times New Roman"/>
          <w:b w:val="0"/>
          <w:i w:val="0"/>
          <w:sz w:val="22"/>
        </w:rPr>
        <w:t xml:space="preserve"> is intra-sentence. Even forcing every sentence to length 23 remains pink (</w:t>
      </w:r>
      <m:oMath>
        <m:r>
          <m:rPr>
            <m:sty m:val="i"/>
          </m:rPr>
          <m:t xml:space="preserve">s</m:t>
        </m:r>
        <m:r>
          <m:rPr>
            <m:sty m:val="p"/>
          </m:rPr>
          <m:t xml:space="preserve"> = −0.897</m:t>
        </m:r>
      </m:oMath>
      <w:r>
        <w:rPr>
          <w:rFonts w:ascii="Times New Roman" w:hAnsi="Times New Roman" w:eastAsia="Times New Roman"/>
          <w:b w:val="0"/>
          <w:i w:val="0"/>
          <w:sz w:val="22"/>
        </w:rPr>
        <w:t>).</w:t>
      </w:r>
    </w:p>
    <w:p>
      <w:pPr>
        <w:spacing w:after="160" w:before="0" w:line="276" w:lineRule="auto"/>
        <w:jc w:val="both"/>
      </w:pPr>
      <w:r>
        <w:rPr>
          <w:rFonts w:ascii="Times New Roman" w:hAnsi="Times New Roman" w:eastAsia="Times New Roman"/>
          <w:b/>
          <w:i w:val="0"/>
          <w:sz w:val="22"/>
        </w:rPr>
        <w:t xml:space="preserve">Cross-linguistic summary. </w:t>
      </w:r>
      <w:r>
        <w:rPr>
          <w:rFonts w:ascii="Times New Roman" w:hAnsi="Times New Roman" w:eastAsia="Times New Roman"/>
          <w:b w:val="0"/>
          <w:i w:val="0"/>
          <w:sz w:val="22"/>
        </w:rPr>
        <w:t xml:space="preserve">Table 2 reports language means. </w:t>
      </w:r>
      <m:oMath>
        <m:r>
          <m:rPr>
            <m:sty m:val="i"/>
          </m:rPr>
          <m:t xml:space="preserve">β</m:t>
        </m:r>
      </m:oMath>
      <w:r>
        <w:rPr>
          <w:rFonts w:ascii="Times New Roman" w:hAnsi="Times New Roman" w:eastAsia="Times New Roman"/>
          <w:b w:val="0"/>
          <w:i w:val="0"/>
          <w:sz w:val="22"/>
        </w:rPr>
        <w:t xml:space="preserve"> is Eq. (3), MHD is mean hop-depth, </w:t>
      </w:r>
      <m:oMath>
        <m:acc>
          <m:accPr>
            <m:chr m:val="̃"/>
          </m:accPr>
          <m:e>
            <m:r>
              <m:rPr>
                <m:sty m:val="i"/>
              </m:rPr>
              <m:t xml:space="preserve">H</m:t>
            </m:r>
          </m:e>
        </m:acc>
      </m:oMath>
      <w:r>
        <w:rPr>
          <w:rFonts w:ascii="Times New Roman" w:hAnsi="Times New Roman" w:eastAsia="Times New Roman"/>
          <w:b w:val="0"/>
          <w:i w:val="0"/>
          <w:sz w:val="22"/>
        </w:rPr>
        <w:t xml:space="preserve"> is Eq. (2), and </w:t>
      </w:r>
      <m:oMath>
        <m:acc>
          <m:accPr>
            <m:chr m:val="̃"/>
          </m:accPr>
          <m:e>
            <m:r>
              <m:rPr>
                <m:sty m:val="i"/>
              </m:rPr>
              <m:t xml:space="preserve">S</m:t>
            </m:r>
          </m:e>
        </m:acc>
      </m:oMath>
      <w:r>
        <w:rPr>
          <w:rFonts w:ascii="Times New Roman" w:hAnsi="Times New Roman" w:eastAsia="Times New Roman"/>
          <w:b w:val="0"/>
          <w:i w:val="0"/>
          <w:sz w:val="22"/>
        </w:rPr>
        <w:t xml:space="preserve"> is normalized composition Shannon.</w:t>
      </w:r>
    </w:p>
    <w:p>
      <w:pPr>
        <w:spacing w:before="240" w:after="120"/>
        <w:jc w:val="left"/>
      </w:pPr>
      <w:r>
        <w:rPr>
          <w:rFonts w:ascii="Times New Roman" w:hAnsi="Times New Roman" w:eastAsia="Times New Roman"/>
          <w:b/>
          <w:i w:val="0"/>
          <w:sz w:val="20"/>
        </w:rPr>
        <w:t xml:space="preserve">Table 2.  </w:t>
      </w:r>
      <w:r>
        <w:rPr>
          <w:rFonts w:ascii="Times New Roman" w:hAnsi="Times New Roman" w:eastAsia="Times New Roman"/>
          <w:b w:val="0"/>
          <w:i/>
          <w:sz w:val="20"/>
        </w:rPr>
        <w:t>Language means (N = 10,000 hop-depths/book). β: Eq. (3). H̃: Eq. (2). S̃: normalized composition Shannon.</w:t>
      </w:r>
    </w:p>
    <w:tbl>
      <w:tblPr>
        <w:tblW w:type="auto" w:w="0"/>
        <w:jc w:val="center"/>
        <w:tblLayout w:type="autofit"/>
        <w:tblLook w:firstColumn="1" w:firstRow="1" w:lastColumn="0" w:lastRow="0" w:noHBand="0" w:noVBand="1" w:val="04A0"/>
        <w:tblBorders>
          <w:top w:val="single" w:sz="12" w:space="0" w:color="000000"/>
          <w:left w:val="nil"/>
          <w:bottom w:val="single" w:sz="12" w:space="0" w:color="000000"/>
          <w:right w:val="nil"/>
          <w:insideH w:val="single" w:sz="4" w:space="0" w:color="BFBFBF"/>
          <w:insideV w:val="nil"/>
        </w:tblBorders>
      </w:tblPr>
      <w:tblGrid>
        <w:gridCol w:w="1409"/>
        <w:gridCol w:w="1409"/>
        <w:gridCol w:w="1409"/>
        <w:gridCol w:w="1409"/>
        <w:gridCol w:w="1409"/>
        <w:gridCol w:w="1409"/>
        <w:gridCol w:w="1409"/>
      </w:tblGrid>
      <w:tr>
        <w:tc>
          <w:tcPr>
            <w:tcW w:type="dxa" w:w="1409"/>
            <w:shd w:val="clear" w:color="auto" w:fill="E8E8E8"/>
            <w:tcMar>
              <w:top w:w="60" w:type="dxa"/>
              <w:left w:w="80" w:type="dxa"/>
              <w:bottom w:w="60" w:type="dxa"/>
              <w:right w:w="80" w:type="dxa"/>
            </w:tcMar>
          </w:tcPr>
          <w:p>
            <w:pPr>
              <w:spacing w:after="0" w:before="0"/>
              <w:jc w:val="left"/>
            </w:pPr>
            <w:r>
              <w:rPr>
                <w:rFonts w:ascii="Times New Roman" w:hAnsi="Times New Roman" w:eastAsia="Times New Roman"/>
                <w:b/>
                <w:i w:val="0"/>
                <w:sz w:val="20"/>
              </w:rPr>
              <w:t>Language</w:t>
            </w:r>
          </w:p>
        </w:tc>
        <w:tc>
          <w:tcPr>
            <w:tcW w:type="dxa" w:w="1409"/>
            <w:shd w:val="clear" w:color="auto" w:fill="E8E8E8"/>
            <w:tcMar>
              <w:top w:w="60" w:type="dxa"/>
              <w:left w:w="80" w:type="dxa"/>
              <w:bottom w:w="60" w:type="dxa"/>
              <w:right w:w="80" w:type="dxa"/>
            </w:tcMar>
          </w:tcPr>
          <w:p>
            <w:pPr>
              <w:spacing w:after="0" w:before="0"/>
              <w:jc w:val="left"/>
            </w:pPr>
            <w:r>
              <w:rPr>
                <w:rFonts w:ascii="Times New Roman" w:hAnsi="Times New Roman" w:eastAsia="Times New Roman"/>
                <w:b/>
                <w:i w:val="0"/>
                <w:sz w:val="20"/>
              </w:rPr>
              <w:t>Family</w:t>
            </w:r>
          </w:p>
        </w:tc>
        <w:tc>
          <w:tcPr>
            <w:tcW w:type="dxa" w:w="1409"/>
            <w:shd w:val="clear" w:color="auto" w:fill="E8E8E8"/>
            <w:tcMar>
              <w:top w:w="60" w:type="dxa"/>
              <w:left w:w="80" w:type="dxa"/>
              <w:bottom w:w="60" w:type="dxa"/>
              <w:right w:w="80" w:type="dxa"/>
            </w:tcMar>
          </w:tcPr>
          <w:p>
            <w:pPr>
              <w:spacing w:after="0" w:before="0"/>
              <w:jc w:val="center"/>
            </w:pPr>
            <w:r>
              <w:rPr>
                <w:rFonts w:ascii="Times New Roman" w:hAnsi="Times New Roman" w:eastAsia="Times New Roman"/>
                <w:b/>
                <w:i w:val="0"/>
                <w:sz w:val="20"/>
              </w:rPr>
              <w:t>n</w:t>
            </w:r>
          </w:p>
        </w:tc>
        <w:tc>
          <w:tcPr>
            <w:tcW w:type="dxa" w:w="1409"/>
            <w:shd w:val="clear" w:color="auto" w:fill="E8E8E8"/>
            <w:tcMar>
              <w:top w:w="60" w:type="dxa"/>
              <w:left w:w="80" w:type="dxa"/>
              <w:bottom w:w="60" w:type="dxa"/>
              <w:right w:w="80" w:type="dxa"/>
            </w:tcMar>
          </w:tcPr>
          <w:p>
            <w:pPr>
              <w:spacing w:after="0" w:before="0"/>
              <w:jc w:val="center"/>
            </w:pPr>
            <w:r>
              <w:rPr>
                <w:rFonts w:ascii="Times New Roman" w:hAnsi="Times New Roman" w:eastAsia="Times New Roman"/>
                <w:b/>
                <w:i w:val="0"/>
                <w:sz w:val="20"/>
              </w:rPr>
              <w:t>MHD</w:t>
            </w:r>
          </w:p>
        </w:tc>
        <w:tc>
          <w:tcPr>
            <w:tcW w:type="dxa" w:w="1409"/>
            <w:shd w:val="clear" w:color="auto" w:fill="E8E8E8"/>
            <w:tcMar>
              <w:top w:w="60" w:type="dxa"/>
              <w:left w:w="80" w:type="dxa"/>
              <w:bottom w:w="60" w:type="dxa"/>
              <w:right w:w="80" w:type="dxa"/>
            </w:tcMar>
          </w:tcPr>
          <w:p>
            <w:pPr>
              <w:spacing w:after="0" w:before="0"/>
              <w:jc w:val="center"/>
            </w:pPr>
            <m:oMath>
              <m:r>
                <m:rPr>
                  <m:sty m:val="i"/>
                </m:rPr>
                <m:t xml:space="preserve">β</m:t>
              </m:r>
            </m:oMath>
          </w:p>
        </w:tc>
        <w:tc>
          <w:tcPr>
            <w:tcW w:type="dxa" w:w="1409"/>
            <w:shd w:val="clear" w:color="auto" w:fill="E8E8E8"/>
            <w:tcMar>
              <w:top w:w="60" w:type="dxa"/>
              <w:left w:w="80" w:type="dxa"/>
              <w:bottom w:w="60" w:type="dxa"/>
              <w:right w:w="80" w:type="dxa"/>
            </w:tcMar>
          </w:tcPr>
          <w:p>
            <w:pPr>
              <w:spacing w:after="0" w:before="0"/>
              <w:jc w:val="center"/>
            </w:pPr>
            <m:oMath>
              <m:acc>
                <m:accPr>
                  <m:chr m:val="̃"/>
                </m:accPr>
                <m:e>
                  <m:r>
                    <m:rPr>
                      <m:sty m:val="i"/>
                    </m:rPr>
                    <m:t xml:space="preserve">H</m:t>
                  </m:r>
                </m:e>
              </m:acc>
            </m:oMath>
          </w:p>
        </w:tc>
        <w:tc>
          <w:tcPr>
            <w:tcW w:type="dxa" w:w="1409"/>
            <w:shd w:val="clear" w:color="auto" w:fill="E8E8E8"/>
            <w:tcMar>
              <w:top w:w="60" w:type="dxa"/>
              <w:left w:w="80" w:type="dxa"/>
              <w:bottom w:w="60" w:type="dxa"/>
              <w:right w:w="80" w:type="dxa"/>
            </w:tcMar>
          </w:tcPr>
          <w:p>
            <w:pPr>
              <w:spacing w:after="0" w:before="0"/>
              <w:jc w:val="center"/>
            </w:pPr>
            <m:oMath>
              <m:acc>
                <m:accPr>
                  <m:chr m:val="̃"/>
                </m:accPr>
                <m:e>
                  <m:r>
                    <m:rPr>
                      <m:sty m:val="i"/>
                    </m:rPr>
                    <m:t xml:space="preserve">S</m:t>
                  </m:r>
                </m:e>
              </m:acc>
            </m:oMath>
          </w:p>
        </w:tc>
      </w:tr>
      <w:tr>
        <w:tc>
          <w:tcPr>
            <w:tcW w:type="dxa" w:w="1409"/>
            <w:tcMar>
              <w:top w:w="60" w:type="dxa"/>
              <w:left w:w="80" w:type="dxa"/>
              <w:bottom w:w="60" w:type="dxa"/>
              <w:right w:w="80" w:type="dxa"/>
            </w:tcMar>
          </w:tcPr>
          <w:p>
            <w:pPr>
              <w:spacing w:after="0" w:before="0"/>
              <w:jc w:val="left"/>
            </w:pPr>
            <w:r>
              <w:rPr>
                <w:rFonts w:ascii="Times New Roman" w:hAnsi="Times New Roman" w:eastAsia="Times New Roman"/>
                <w:b/>
                <w:i w:val="0"/>
                <w:sz w:val="20"/>
              </w:rPr>
              <w:t>English</w:t>
            </w:r>
          </w:p>
        </w:tc>
        <w:tc>
          <w:tcPr>
            <w:tcW w:type="dxa" w:w="1409"/>
            <w:tcMar>
              <w:top w:w="60" w:type="dxa"/>
              <w:left w:w="80" w:type="dxa"/>
              <w:bottom w:w="60" w:type="dxa"/>
              <w:right w:w="80" w:type="dxa"/>
            </w:tcMar>
          </w:tcPr>
          <w:p>
            <w:pPr>
              <w:spacing w:after="0" w:before="0"/>
              <w:jc w:val="left"/>
            </w:pPr>
            <w:r>
              <w:rPr>
                <w:rFonts w:ascii="Times New Roman" w:hAnsi="Times New Roman" w:eastAsia="Times New Roman"/>
                <w:b w:val="0"/>
                <w:i w:val="0"/>
                <w:sz w:val="20"/>
              </w:rPr>
              <w:t>IE/Germanic</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98</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3.07</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1.07</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0.85</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0.70</w:t>
            </w:r>
          </w:p>
        </w:tc>
      </w:tr>
      <w:tr>
        <w:tc>
          <w:tcPr>
            <w:tcW w:type="dxa" w:w="1409"/>
            <w:tcMar>
              <w:top w:w="60" w:type="dxa"/>
              <w:left w:w="80" w:type="dxa"/>
              <w:bottom w:w="60" w:type="dxa"/>
              <w:right w:w="80" w:type="dxa"/>
            </w:tcMar>
          </w:tcPr>
          <w:p>
            <w:pPr>
              <w:spacing w:after="0" w:before="0"/>
              <w:jc w:val="left"/>
            </w:pPr>
            <w:r>
              <w:rPr>
                <w:rFonts w:ascii="Times New Roman" w:hAnsi="Times New Roman" w:eastAsia="Times New Roman"/>
                <w:b/>
                <w:i w:val="0"/>
                <w:sz w:val="20"/>
              </w:rPr>
              <w:t>Spanish</w:t>
            </w:r>
          </w:p>
        </w:tc>
        <w:tc>
          <w:tcPr>
            <w:tcW w:type="dxa" w:w="1409"/>
            <w:tcMar>
              <w:top w:w="60" w:type="dxa"/>
              <w:left w:w="80" w:type="dxa"/>
              <w:bottom w:w="60" w:type="dxa"/>
              <w:right w:w="80" w:type="dxa"/>
            </w:tcMar>
          </w:tcPr>
          <w:p>
            <w:pPr>
              <w:spacing w:after="0" w:before="0"/>
              <w:jc w:val="left"/>
            </w:pPr>
            <w:r>
              <w:rPr>
                <w:rFonts w:ascii="Times New Roman" w:hAnsi="Times New Roman" w:eastAsia="Times New Roman"/>
                <w:b w:val="0"/>
                <w:i w:val="0"/>
                <w:sz w:val="20"/>
              </w:rPr>
              <w:t>IE/Romance</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26</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2.53</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0.86</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0.86</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0.70</w:t>
            </w:r>
          </w:p>
        </w:tc>
      </w:tr>
      <w:tr>
        <w:tc>
          <w:tcPr>
            <w:tcW w:type="dxa" w:w="1409"/>
            <w:tcMar>
              <w:top w:w="60" w:type="dxa"/>
              <w:left w:w="80" w:type="dxa"/>
              <w:bottom w:w="60" w:type="dxa"/>
              <w:right w:w="80" w:type="dxa"/>
            </w:tcMar>
          </w:tcPr>
          <w:p>
            <w:pPr>
              <w:spacing w:after="0" w:before="0"/>
              <w:jc w:val="left"/>
            </w:pPr>
            <w:r>
              <w:rPr>
                <w:rFonts w:ascii="Times New Roman" w:hAnsi="Times New Roman" w:eastAsia="Times New Roman"/>
                <w:b/>
                <w:i w:val="0"/>
                <w:sz w:val="20"/>
              </w:rPr>
              <w:t>French</w:t>
            </w:r>
          </w:p>
        </w:tc>
        <w:tc>
          <w:tcPr>
            <w:tcW w:type="dxa" w:w="1409"/>
            <w:tcMar>
              <w:top w:w="60" w:type="dxa"/>
              <w:left w:w="80" w:type="dxa"/>
              <w:bottom w:w="60" w:type="dxa"/>
              <w:right w:w="80" w:type="dxa"/>
            </w:tcMar>
          </w:tcPr>
          <w:p>
            <w:pPr>
              <w:spacing w:after="0" w:before="0"/>
              <w:jc w:val="left"/>
            </w:pPr>
            <w:r>
              <w:rPr>
                <w:rFonts w:ascii="Times New Roman" w:hAnsi="Times New Roman" w:eastAsia="Times New Roman"/>
                <w:b w:val="0"/>
                <w:i w:val="0"/>
                <w:sz w:val="20"/>
              </w:rPr>
              <w:t>IE/Romance</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27</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2.44</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0.85</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0.86</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0.69</w:t>
            </w:r>
          </w:p>
        </w:tc>
      </w:tr>
      <w:tr>
        <w:tc>
          <w:tcPr>
            <w:tcW w:type="dxa" w:w="1409"/>
            <w:tcMar>
              <w:top w:w="60" w:type="dxa"/>
              <w:left w:w="80" w:type="dxa"/>
              <w:bottom w:w="60" w:type="dxa"/>
              <w:right w:w="80" w:type="dxa"/>
            </w:tcMar>
          </w:tcPr>
          <w:p>
            <w:pPr>
              <w:spacing w:after="0" w:before="0"/>
              <w:jc w:val="left"/>
            </w:pPr>
            <w:r>
              <w:rPr>
                <w:rFonts w:ascii="Times New Roman" w:hAnsi="Times New Roman" w:eastAsia="Times New Roman"/>
                <w:b/>
                <w:i w:val="0"/>
                <w:sz w:val="20"/>
              </w:rPr>
              <w:t>Swedish</w:t>
            </w:r>
          </w:p>
        </w:tc>
        <w:tc>
          <w:tcPr>
            <w:tcW w:type="dxa" w:w="1409"/>
            <w:tcMar>
              <w:top w:w="60" w:type="dxa"/>
              <w:left w:w="80" w:type="dxa"/>
              <w:bottom w:w="60" w:type="dxa"/>
              <w:right w:w="80" w:type="dxa"/>
            </w:tcMar>
          </w:tcPr>
          <w:p>
            <w:pPr>
              <w:spacing w:after="0" w:before="0"/>
              <w:jc w:val="left"/>
            </w:pPr>
            <w:r>
              <w:rPr>
                <w:rFonts w:ascii="Times New Roman" w:hAnsi="Times New Roman" w:eastAsia="Times New Roman"/>
                <w:b w:val="0"/>
                <w:i w:val="0"/>
                <w:sz w:val="20"/>
              </w:rPr>
              <w:t>IE/Germanic</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14</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2.42</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0.90</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0.87</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0.70</w:t>
            </w:r>
          </w:p>
        </w:tc>
      </w:tr>
      <w:tr>
        <w:tc>
          <w:tcPr>
            <w:tcW w:type="dxa" w:w="1409"/>
            <w:tcMar>
              <w:top w:w="60" w:type="dxa"/>
              <w:left w:w="80" w:type="dxa"/>
              <w:bottom w:w="60" w:type="dxa"/>
              <w:right w:w="80" w:type="dxa"/>
            </w:tcMar>
          </w:tcPr>
          <w:p>
            <w:pPr>
              <w:spacing w:after="0" w:before="0"/>
              <w:jc w:val="left"/>
            </w:pPr>
            <w:r>
              <w:rPr>
                <w:rFonts w:ascii="Times New Roman" w:hAnsi="Times New Roman" w:eastAsia="Times New Roman"/>
                <w:b/>
                <w:i w:val="0"/>
                <w:sz w:val="20"/>
              </w:rPr>
              <w:t>Finnish</w:t>
            </w:r>
          </w:p>
        </w:tc>
        <w:tc>
          <w:tcPr>
            <w:tcW w:type="dxa" w:w="1409"/>
            <w:tcMar>
              <w:top w:w="60" w:type="dxa"/>
              <w:left w:w="80" w:type="dxa"/>
              <w:bottom w:w="60" w:type="dxa"/>
              <w:right w:w="80" w:type="dxa"/>
            </w:tcMar>
          </w:tcPr>
          <w:p>
            <w:pPr>
              <w:spacing w:after="0" w:before="0"/>
              <w:jc w:val="left"/>
            </w:pPr>
            <w:r>
              <w:rPr>
                <w:rFonts w:ascii="Times New Roman" w:hAnsi="Times New Roman" w:eastAsia="Times New Roman"/>
                <w:b w:val="0"/>
                <w:i w:val="0"/>
                <w:sz w:val="20"/>
              </w:rPr>
              <w:t>Uralic</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13</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2.03</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0.88</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0.87</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0.70</w:t>
            </w:r>
          </w:p>
        </w:tc>
      </w:tr>
      <w:tr>
        <w:tc>
          <w:tcPr>
            <w:tcW w:type="dxa" w:w="1409"/>
            <w:tcMar>
              <w:top w:w="60" w:type="dxa"/>
              <w:left w:w="80" w:type="dxa"/>
              <w:bottom w:w="60" w:type="dxa"/>
              <w:right w:w="80" w:type="dxa"/>
            </w:tcMar>
          </w:tcPr>
          <w:p>
            <w:pPr>
              <w:spacing w:after="0" w:before="0"/>
              <w:jc w:val="left"/>
            </w:pPr>
            <w:r>
              <w:rPr>
                <w:rFonts w:ascii="Times New Roman" w:hAnsi="Times New Roman" w:eastAsia="Times New Roman"/>
                <w:b/>
                <w:i w:val="0"/>
                <w:sz w:val="20"/>
              </w:rPr>
              <w:t>Portuguese</w:t>
            </w:r>
          </w:p>
        </w:tc>
        <w:tc>
          <w:tcPr>
            <w:tcW w:type="dxa" w:w="1409"/>
            <w:tcMar>
              <w:top w:w="60" w:type="dxa"/>
              <w:left w:w="80" w:type="dxa"/>
              <w:bottom w:w="60" w:type="dxa"/>
              <w:right w:w="80" w:type="dxa"/>
            </w:tcMar>
          </w:tcPr>
          <w:p>
            <w:pPr>
              <w:spacing w:after="0" w:before="0"/>
              <w:jc w:val="left"/>
            </w:pPr>
            <w:r>
              <w:rPr>
                <w:rFonts w:ascii="Times New Roman" w:hAnsi="Times New Roman" w:eastAsia="Times New Roman"/>
                <w:b w:val="0"/>
                <w:i w:val="0"/>
                <w:sz w:val="20"/>
              </w:rPr>
              <w:t>IE/Romance</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19</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2.38</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0.81</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0.88</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0.68</w:t>
            </w:r>
          </w:p>
        </w:tc>
      </w:tr>
      <w:tr>
        <w:tc>
          <w:tcPr>
            <w:tcW w:type="dxa" w:w="1409"/>
            <w:tcMar>
              <w:top w:w="60" w:type="dxa"/>
              <w:left w:w="80" w:type="dxa"/>
              <w:bottom w:w="60" w:type="dxa"/>
              <w:right w:w="80" w:type="dxa"/>
            </w:tcMar>
          </w:tcPr>
          <w:p>
            <w:pPr>
              <w:spacing w:after="0" w:before="0"/>
              <w:jc w:val="left"/>
            </w:pPr>
            <w:r>
              <w:rPr>
                <w:rFonts w:ascii="Times New Roman" w:hAnsi="Times New Roman" w:eastAsia="Times New Roman"/>
                <w:b/>
                <w:i w:val="0"/>
                <w:sz w:val="20"/>
              </w:rPr>
              <w:t>German</w:t>
            </w:r>
          </w:p>
        </w:tc>
        <w:tc>
          <w:tcPr>
            <w:tcW w:type="dxa" w:w="1409"/>
            <w:tcMar>
              <w:top w:w="60" w:type="dxa"/>
              <w:left w:w="80" w:type="dxa"/>
              <w:bottom w:w="60" w:type="dxa"/>
              <w:right w:w="80" w:type="dxa"/>
            </w:tcMar>
          </w:tcPr>
          <w:p>
            <w:pPr>
              <w:spacing w:after="0" w:before="0"/>
              <w:jc w:val="left"/>
            </w:pPr>
            <w:r>
              <w:rPr>
                <w:rFonts w:ascii="Times New Roman" w:hAnsi="Times New Roman" w:eastAsia="Times New Roman"/>
                <w:b w:val="0"/>
                <w:i w:val="0"/>
                <w:sz w:val="20"/>
              </w:rPr>
              <w:t>IE/Germanic</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26</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2.40</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0.91</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0.88</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0.72</w:t>
            </w:r>
          </w:p>
        </w:tc>
      </w:tr>
      <w:tr>
        <w:tc>
          <w:tcPr>
            <w:tcW w:type="dxa" w:w="1409"/>
            <w:tcMar>
              <w:top w:w="60" w:type="dxa"/>
              <w:left w:w="80" w:type="dxa"/>
              <w:bottom w:w="60" w:type="dxa"/>
              <w:right w:w="80" w:type="dxa"/>
            </w:tcMar>
          </w:tcPr>
          <w:p>
            <w:pPr>
              <w:spacing w:after="0" w:before="0"/>
              <w:jc w:val="left"/>
            </w:pPr>
            <w:r>
              <w:rPr>
                <w:rFonts w:ascii="Times New Roman" w:hAnsi="Times New Roman" w:eastAsia="Times New Roman"/>
                <w:b/>
                <w:i w:val="0"/>
                <w:sz w:val="20"/>
              </w:rPr>
              <w:t>Italian</w:t>
            </w:r>
          </w:p>
        </w:tc>
        <w:tc>
          <w:tcPr>
            <w:tcW w:type="dxa" w:w="1409"/>
            <w:tcMar>
              <w:top w:w="60" w:type="dxa"/>
              <w:left w:w="80" w:type="dxa"/>
              <w:bottom w:w="60" w:type="dxa"/>
              <w:right w:w="80" w:type="dxa"/>
            </w:tcMar>
          </w:tcPr>
          <w:p>
            <w:pPr>
              <w:spacing w:after="0" w:before="0"/>
              <w:jc w:val="left"/>
            </w:pPr>
            <w:r>
              <w:rPr>
                <w:rFonts w:ascii="Times New Roman" w:hAnsi="Times New Roman" w:eastAsia="Times New Roman"/>
                <w:b w:val="0"/>
                <w:i w:val="0"/>
                <w:sz w:val="20"/>
              </w:rPr>
              <w:t>IE/Romance</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25</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2.47</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0.81</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0.88</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0.70</w:t>
            </w:r>
          </w:p>
        </w:tc>
      </w:tr>
      <w:tr>
        <w:tc>
          <w:tcPr>
            <w:tcW w:type="dxa" w:w="1409"/>
            <w:tcMar>
              <w:top w:w="60" w:type="dxa"/>
              <w:left w:w="80" w:type="dxa"/>
              <w:bottom w:w="60" w:type="dxa"/>
              <w:right w:w="80" w:type="dxa"/>
            </w:tcMar>
          </w:tcPr>
          <w:p>
            <w:pPr>
              <w:spacing w:after="0" w:before="0"/>
              <w:jc w:val="left"/>
            </w:pPr>
            <w:r>
              <w:rPr>
                <w:rFonts w:ascii="Times New Roman" w:hAnsi="Times New Roman" w:eastAsia="Times New Roman"/>
                <w:b/>
                <w:i w:val="0"/>
                <w:sz w:val="20"/>
              </w:rPr>
              <w:t>Polish</w:t>
            </w:r>
          </w:p>
        </w:tc>
        <w:tc>
          <w:tcPr>
            <w:tcW w:type="dxa" w:w="1409"/>
            <w:tcMar>
              <w:top w:w="60" w:type="dxa"/>
              <w:left w:w="80" w:type="dxa"/>
              <w:bottom w:w="60" w:type="dxa"/>
              <w:right w:w="80" w:type="dxa"/>
            </w:tcMar>
          </w:tcPr>
          <w:p>
            <w:pPr>
              <w:spacing w:after="0" w:before="0"/>
              <w:jc w:val="left"/>
            </w:pPr>
            <w:r>
              <w:rPr>
                <w:rFonts w:ascii="Times New Roman" w:hAnsi="Times New Roman" w:eastAsia="Times New Roman"/>
                <w:b w:val="0"/>
                <w:i w:val="0"/>
                <w:sz w:val="20"/>
              </w:rPr>
              <w:t>IE/Slavic</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19</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2.84</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0.78</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0.89</w:t>
            </w:r>
          </w:p>
        </w:tc>
        <w:tc>
          <w:tcPr>
            <w:tcW w:type="dxa" w:w="1409"/>
            <w:tcMar>
              <w:top w:w="60" w:type="dxa"/>
              <w:left w:w="80" w:type="dxa"/>
              <w:bottom w:w="60" w:type="dxa"/>
              <w:right w:w="80" w:type="dxa"/>
            </w:tcMar>
          </w:tcPr>
          <w:p>
            <w:pPr>
              <w:spacing w:after="0" w:before="0"/>
              <w:jc w:val="center"/>
            </w:pPr>
            <w:r>
              <w:rPr>
                <w:rFonts w:ascii="Times New Roman" w:hAnsi="Times New Roman" w:eastAsia="Times New Roman"/>
                <w:b w:val="0"/>
                <w:i w:val="0"/>
                <w:sz w:val="20"/>
              </w:rPr>
              <w:t>0.70</w:t>
            </w:r>
          </w:p>
        </w:tc>
      </w:tr>
    </w:tbl>
    <w:p>
      <w:pPr>
        <w:spacing w:before="280" w:after="120"/>
      </w:pPr>
      <w:r>
        <w:rPr>
          <w:rFonts w:ascii="Times New Roman" w:hAnsi="Times New Roman" w:eastAsia="Times New Roman"/>
          <w:b/>
          <w:i w:val="0"/>
          <w:sz w:val="22"/>
        </w:rPr>
        <w:t>References.</w:t>
      </w:r>
    </w:p>
    <w:p>
      <w:pPr>
        <w:spacing w:after="40" w:before="0" w:line="276" w:lineRule="auto"/>
        <w:ind w:left="340" w:hanging="340"/>
        <w:jc w:val="both"/>
      </w:pPr>
      <w:r>
        <w:rPr>
          <w:rFonts w:ascii="Times New Roman" w:hAnsi="Times New Roman" w:eastAsia="Times New Roman"/>
          <w:b w:val="0"/>
          <w:i w:val="0"/>
          <w:sz w:val="20"/>
        </w:rPr>
        <w:t>[1]  Project Gutenberg. https://www.gutenberg.org/.</w:t>
      </w:r>
    </w:p>
    <w:p>
      <w:pPr>
        <w:spacing w:after="40" w:before="0" w:line="276" w:lineRule="auto"/>
        <w:ind w:left="340" w:hanging="340"/>
        <w:jc w:val="both"/>
      </w:pPr>
      <w:r>
        <w:rPr>
          <w:rFonts w:ascii="Times New Roman" w:hAnsi="Times New Roman" w:eastAsia="Times New Roman"/>
          <w:b w:val="0"/>
          <w:i w:val="0"/>
          <w:sz w:val="20"/>
        </w:rPr>
        <w:t>[2]  W. Ebeling and A. Neiman, Physica A 215, 233 (1995).</w:t>
      </w:r>
    </w:p>
    <w:p>
      <w:pPr>
        <w:spacing w:after="40" w:before="0" w:line="276" w:lineRule="auto"/>
        <w:ind w:left="340" w:hanging="340"/>
        <w:jc w:val="both"/>
      </w:pPr>
      <w:r>
        <w:rPr>
          <w:rFonts w:ascii="Times New Roman" w:hAnsi="Times New Roman" w:eastAsia="Times New Roman"/>
          <w:b w:val="0"/>
          <w:i w:val="0"/>
          <w:sz w:val="20"/>
        </w:rPr>
        <w:t>[3]  M. A. Montemurro and P. A. Pury, Fractals 10, 451 (2002).</w:t>
      </w:r>
    </w:p>
    <w:p>
      <w:pPr>
        <w:spacing w:after="40" w:before="0" w:line="276" w:lineRule="auto"/>
        <w:ind w:left="340" w:hanging="340"/>
        <w:jc w:val="both"/>
      </w:pPr>
      <w:r>
        <w:rPr>
          <w:rFonts w:ascii="Times New Roman" w:hAnsi="Times New Roman" w:eastAsia="Times New Roman"/>
          <w:b w:val="0"/>
          <w:i w:val="0"/>
          <w:sz w:val="20"/>
        </w:rPr>
        <w:t>[4]  S. Drożdż et al., Inf. Sci. 331, 32 (2016).</w:t>
      </w:r>
    </w:p>
    <w:p>
      <w:pPr>
        <w:spacing w:after="40" w:before="0" w:line="276" w:lineRule="auto"/>
        <w:ind w:left="340" w:hanging="340"/>
        <w:jc w:val="both"/>
      </w:pPr>
      <w:r>
        <w:rPr>
          <w:rFonts w:ascii="Times New Roman" w:hAnsi="Times New Roman" w:eastAsia="Times New Roman"/>
          <w:b w:val="0"/>
          <w:i w:val="0"/>
          <w:sz w:val="20"/>
        </w:rPr>
        <w:t>[5]  E. De Santis, G. De Santis, A. Rizzi, IEEE Trans. Pattern Anal. Mach. Intell. 45, 10143 (2023).</w:t>
      </w:r>
    </w:p>
    <w:p>
      <w:pPr>
        <w:spacing w:after="40" w:before="0" w:line="276" w:lineRule="auto"/>
        <w:ind w:left="340" w:hanging="340"/>
        <w:jc w:val="both"/>
      </w:pPr>
      <w:r>
        <w:rPr>
          <w:rFonts w:ascii="Times New Roman" w:hAnsi="Times New Roman" w:eastAsia="Times New Roman"/>
          <w:b w:val="0"/>
          <w:i w:val="0"/>
          <w:sz w:val="20"/>
        </w:rPr>
        <w:t>[6]  Y. Xu and D. Reitter, in ACL (2017), p. 623.</w:t>
      </w:r>
    </w:p>
    <w:p>
      <w:pPr>
        <w:spacing w:after="40" w:before="0" w:line="276" w:lineRule="auto"/>
        <w:ind w:left="340" w:hanging="340"/>
        <w:jc w:val="both"/>
      </w:pPr>
      <w:r>
        <w:rPr>
          <w:rFonts w:ascii="Times New Roman" w:hAnsi="Times New Roman" w:eastAsia="Times New Roman"/>
          <w:b w:val="0"/>
          <w:i w:val="0"/>
          <w:sz w:val="20"/>
        </w:rPr>
        <w:t>[7]  H. W. Lin and M. Tegmark, Entropy 19, 299 (2017).</w:t>
      </w:r>
    </w:p>
    <w:p>
      <w:pPr>
        <w:spacing w:after="40" w:before="0" w:line="276" w:lineRule="auto"/>
        <w:ind w:left="340" w:hanging="340"/>
        <w:jc w:val="both"/>
      </w:pPr>
      <w:r>
        <w:rPr>
          <w:rFonts w:ascii="Times New Roman" w:hAnsi="Times New Roman" w:eastAsia="Times New Roman"/>
          <w:b w:val="0"/>
          <w:i w:val="0"/>
          <w:sz w:val="20"/>
        </w:rPr>
        <w:t>[8]  Y. Jing and H. Liu, in Depling (2015), p. 161.</w:t>
      </w:r>
    </w:p>
    <w:p>
      <w:pPr>
        <w:spacing w:after="40" w:before="0" w:line="276" w:lineRule="auto"/>
        <w:ind w:left="340" w:hanging="340"/>
        <w:jc w:val="both"/>
      </w:pPr>
      <w:r>
        <w:rPr>
          <w:rFonts w:ascii="Times New Roman" w:hAnsi="Times New Roman" w:eastAsia="Times New Roman"/>
          <w:b w:val="0"/>
          <w:i w:val="0"/>
          <w:sz w:val="20"/>
        </w:rPr>
        <w:t>[9]  M. K. Verma et al., Phys. Rev. E 110, 055106 (2024).</w:t>
      </w:r>
    </w:p>
    <w:p>
      <w:pPr>
        <w:spacing w:after="40" w:before="0" w:line="276" w:lineRule="auto"/>
        <w:ind w:left="340" w:hanging="340"/>
        <w:jc w:val="both"/>
      </w:pPr>
      <w:r>
        <w:rPr>
          <w:rFonts w:ascii="Times New Roman" w:hAnsi="Times New Roman" w:eastAsia="Times New Roman"/>
          <w:b w:val="0"/>
          <w:i w:val="0"/>
          <w:sz w:val="20"/>
        </w:rPr>
        <w:t>[10] C. E. Shannon, Bell Syst. Tech. J. 27, 379 (1948).</w:t>
      </w:r>
    </w:p>
    <w:p>
      <w:pPr>
        <w:spacing w:after="40" w:before="0" w:line="276" w:lineRule="auto"/>
        <w:ind w:left="340" w:hanging="340"/>
        <w:jc w:val="both"/>
      </w:pPr>
      <w:r>
        <w:rPr>
          <w:rFonts w:ascii="Times New Roman" w:hAnsi="Times New Roman" w:eastAsia="Times New Roman"/>
          <w:b w:val="0"/>
          <w:i w:val="0"/>
          <w:sz w:val="20"/>
        </w:rPr>
        <w:t>[11] C. E. Shannon, Bell Syst. Tech. J. 30, 50 (1951).</w:t>
      </w:r>
    </w:p>
    <w:p>
      <w:pPr>
        <w:spacing w:after="40" w:before="0" w:line="276" w:lineRule="auto"/>
        <w:ind w:left="340" w:hanging="340"/>
        <w:jc w:val="both"/>
      </w:pPr>
      <w:r>
        <w:rPr>
          <w:rFonts w:ascii="Times New Roman" w:hAnsi="Times New Roman" w:eastAsia="Times New Roman"/>
          <w:b w:val="0"/>
          <w:i w:val="0"/>
          <w:sz w:val="20"/>
        </w:rPr>
        <w:t>[12] M. Honnibal and I. Montani. spaCy 2 (2017). https://spacy.io/.</w:t>
      </w:r>
    </w:p>
    <w:p>
      <w:pPr>
        <w:spacing w:after="40" w:before="0" w:line="276" w:lineRule="auto"/>
        <w:ind w:left="340" w:hanging="340"/>
        <w:jc w:val="both"/>
      </w:pPr>
      <w:r>
        <w:rPr>
          <w:rFonts w:ascii="Times New Roman" w:hAnsi="Times New Roman" w:eastAsia="Times New Roman"/>
          <w:b w:val="0"/>
          <w:i w:val="0"/>
          <w:sz w:val="20"/>
        </w:rPr>
        <w:t>[13] M.-C. de Marneffe et al., Comput. Linguist. 47, 255 (2021).</w:t>
      </w:r>
    </w:p>
    <w:p>
      <w:pPr>
        <w:spacing w:after="40" w:before="0" w:line="276" w:lineRule="auto"/>
        <w:ind w:left="340" w:hanging="340"/>
        <w:jc w:val="both"/>
      </w:pPr>
      <w:r>
        <w:rPr>
          <w:rFonts w:ascii="Times New Roman" w:hAnsi="Times New Roman" w:eastAsia="Times New Roman"/>
          <w:b w:val="0"/>
          <w:i w:val="0"/>
          <w:sz w:val="20"/>
        </w:rPr>
        <w:t>[14] T. M. Cover and J. A. Thomas, Elements of Information Theory, 2nd ed. (Wiley, 2006).</w:t>
      </w:r>
    </w:p>
    <w:p>
      <w:pPr>
        <w:spacing w:after="40" w:before="0" w:line="276" w:lineRule="auto"/>
        <w:ind w:left="340" w:hanging="340"/>
        <w:jc w:val="both"/>
      </w:pPr>
      <w:r>
        <w:rPr>
          <w:rFonts w:ascii="Times New Roman" w:hAnsi="Times New Roman" w:eastAsia="Times New Roman"/>
          <w:b w:val="0"/>
          <w:i w:val="0"/>
          <w:sz w:val="20"/>
        </w:rPr>
        <w:t>[15] L. Paninski, Neural Comput. 15, 1191 (2003).</w:t>
      </w: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A5A5A"/>
        <w:sz w:val="18"/>
      </w:rPr>
    </w:r>
    <w:fldSimple w:instr=" PAGE "/>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smallCaps/>
        <w:color w:val="5A5A5A"/>
        <w:sz w:val="18"/>
      </w:rPr>
      <w:t>METHODS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