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255"/>
          <w:sz w:val="52"/>
        </w:rPr>
        <w:t>Adaptive Pairs Trading (APT)</w:t>
      </w:r>
    </w:p>
    <w:p>
      <w:pPr>
        <w:jc w:val="center"/>
      </w:pPr>
      <w:r>
        <w:rPr>
          <w:i/>
          <w:color w:val="2E5A88"/>
          <w:sz w:val="30"/>
        </w:rPr>
        <w:t>A Methodology and Out-of-Sample Validation Study</w:t>
      </w:r>
    </w:p>
    <w:p>
      <w:pPr>
        <w:spacing w:before="200"/>
        <w:jc w:val="center"/>
      </w:pPr>
      <w:r>
        <w:rPr>
          <w:color w:val="555555"/>
          <w:sz w:val="22"/>
        </w:rPr>
        <w:t>Statistical-arbitrage pairs trading on the NSE cash-equity universe,</w:t>
        <w:br/>
        <w:t>with an adaptive-equilibrium extension and a crypto out-of-sample retest</w:t>
      </w:r>
    </w:p>
    <w:p/>
    <w:p/>
    <w:p>
      <w:pPr>
        <w:jc w:val="center"/>
      </w:pPr>
      <w:r>
        <w:rPr>
          <w:color w:val="555555"/>
          <w:sz w:val="22"/>
        </w:rPr>
        <w:t xml:space="preserve">Authors:  </w:t>
      </w:r>
      <w:r>
        <w:rPr>
          <w:b/>
          <w:color w:val="1F3255"/>
          <w:sz w:val="23"/>
        </w:rPr>
        <w:t>Om Chitlangia · Manan Raina Kumar</w:t>
      </w:r>
    </w:p>
    <w:p>
      <w:pPr>
        <w:jc w:val="center"/>
      </w:pPr>
      <w:r>
        <w:rPr>
          <w:color w:val="555555"/>
          <w:sz w:val="22"/>
        </w:rPr>
        <w:t xml:space="preserve">Supervisors:  </w:t>
      </w:r>
      <w:r>
        <w:rPr>
          <w:b/>
          <w:color w:val="1F3255"/>
          <w:sz w:val="23"/>
        </w:rPr>
        <w:t>Dr. Barik · Dr. Malu</w:t>
      </w:r>
    </w:p>
    <w:p>
      <w:pPr>
        <w:jc w:val="center"/>
      </w:pPr>
      <w:r>
        <w:rPr>
          <w:color w:val="555555"/>
          <w:sz w:val="22"/>
        </w:rPr>
        <w:t xml:space="preserve">Institution:  </w:t>
      </w:r>
      <w:r>
        <w:rPr>
          <w:b/>
          <w:color w:val="1F3255"/>
          <w:sz w:val="23"/>
        </w:rPr>
        <w:t>AI Center of Excellence · Shiv Nadar Institution of Eminence</w:t>
      </w:r>
    </w:p>
    <w:p>
      <w:pPr>
        <w:jc w:val="center"/>
      </w:pPr>
      <w:r>
        <w:rPr>
          <w:color w:val="555555"/>
          <w:sz w:val="22"/>
        </w:rPr>
        <w:t xml:space="preserve">Date:  </w:t>
      </w:r>
      <w:r>
        <w:rPr>
          <w:b/>
          <w:color w:val="1F3255"/>
          <w:sz w:val="23"/>
        </w:rPr>
        <w:t>June 2026</w:t>
      </w:r>
    </w:p>
    <w:p/>
    <w:p/>
    <w:p>
      <w:pPr>
        <w:jc w:val="center"/>
      </w:pPr>
      <w:r>
        <w:rPr>
          <w:i/>
          <w:color w:val="555555"/>
          <w:sz w:val="18"/>
        </w:rPr>
        <w:t>Audience: academic committee.  Reproducibility: every table is rendered from a persisted CSV and every figure from a persisted PNG; no experiment is re-run for this document.  All performance numbers are reported gross AND net of transaction cost.</w:t>
      </w:r>
    </w:p>
    <w:p>
      <w:r>
        <w:br w:type="page"/>
      </w:r>
    </w:p>
    <w:p>
      <w:pPr>
        <w:pStyle w:val="Heading1"/>
      </w:pPr>
      <w:r>
        <w:rPr>
          <w:color w:val="1F3255"/>
        </w:rPr>
        <w:t>Structured Abstract</w:t>
      </w:r>
    </w:p>
    <w:p>
      <w:pPr>
        <w:spacing w:after="120"/>
      </w:pPr>
      <w:r>
        <w:rPr>
          <w:b/>
          <w:color w:val="2E5A88"/>
          <w:sz w:val="21"/>
        </w:rPr>
        <w:t xml:space="preserve">Background — </w:t>
      </w:r>
      <w:r>
        <w:rPr>
          <w:sz w:val="21"/>
        </w:rPr>
        <w:t>Classical statistical-arbitrage pairs trading exploits temporary dislocations between cointegrated assets. Two structural headwinds motivate this study: (i) the documented decay of the equity-pairs edge as the strategy has become crowded, and (ii) the cash-market constraints of the Indian (NSE) venue — no native shorting in the cash segment, discrete-lot frictions, and a split/bonus-only (dividend-unadjusted) price history.</w:t>
      </w:r>
    </w:p>
    <w:p>
      <w:pPr>
        <w:spacing w:after="120"/>
      </w:pPr>
      <w:r>
        <w:rPr>
          <w:b/>
          <w:color w:val="2E5A88"/>
          <w:sz w:val="21"/>
        </w:rPr>
        <w:t xml:space="preserve">Objective — </w:t>
      </w:r>
      <w:r>
        <w:rPr>
          <w:sz w:val="21"/>
        </w:rPr>
        <w:t>To build a fully reproducible pairs-trading pipeline on the NSE universe; to test whether an adaptive-equilibrium signal (a per-session causal Kalman level filter) improves on a frozen cointegration relationship; and to subject the strongest result to a multiple-testing-aware validation gate (Deflated Sharpe Ratio and the Probability of Backtest Overfitting) before retesting the mechanism out-of-sample on a breadth universe (crypto perpetual pairs).</w:t>
      </w:r>
    </w:p>
    <w:p>
      <w:pPr>
        <w:spacing w:after="120"/>
      </w:pPr>
      <w:r>
        <w:rPr>
          <w:b/>
          <w:color w:val="2E5A88"/>
          <w:sz w:val="21"/>
        </w:rPr>
        <w:t xml:space="preserve">Methods — </w:t>
      </w:r>
      <w:r>
        <w:rPr>
          <w:sz w:val="21"/>
        </w:rPr>
        <w:t>Engle–Granger cointegration with Benjamini–Hochberg FDR control for pair selection (Johansen used as an order-independent comparator); a frozen-OLS hedge ratio with a β-aware (1+β) transaction-cost convention; Ornstein–Uhlenbeck fitting with Bertram (2010) cost-aware optimal thresholds; a μ-only local-level Kalman equilibrium filter (West–Harrison discount form) with a train-only absorption guard; and a leakage-free walk-forward backtest. Validation uses the Deflated Sharpe Ratio (Bailey &amp; López de Prado, 2014) and PBO via CSCV (Bailey et al., 2017).</w:t>
      </w:r>
    </w:p>
    <w:p>
      <w:pPr>
        <w:spacing w:after="120"/>
      </w:pPr>
      <w:r>
        <w:rPr>
          <w:b/>
          <w:color w:val="2E5A88"/>
          <w:sz w:val="21"/>
        </w:rPr>
        <w:t xml:space="preserve">Results — </w:t>
      </w:r>
      <w:r>
        <w:rPr>
          <w:sz w:val="21"/>
        </w:rPr>
        <w:t>On the daily NSE universe the baseline is net-profitable (net Sharpe 1.08 over ~7 out-of-sample years). At intraday frequency the tradeable universe collapses to two pair-folds; on that matched universe the adaptive Kalman arm roughly doubles the net Sharpe of the frozen engine (2.15 vs 0.95–1.00) and is the only engine to clear the N=46 Deflated-Sharpe luck bar (DSR 0.808) — but its p-value is 0.192 (not significant) and the result rests on n=2. The β-tracking escalation fails by weak identification (β collapses at intraday frequency). On the breadth crypto universe the ordering replicates (Kalman &gt; frozen on gross and net; Kalman uniquely positive gross), yet net is deeply negative for every engine and the net Deflated Sharpe is 0.002 — the edge does not survive realistic intraday transaction cost.</w:t>
      </w:r>
    </w:p>
    <w:p>
      <w:pPr>
        <w:spacing w:after="120"/>
      </w:pPr>
      <w:r>
        <w:rPr>
          <w:b/>
          <w:color w:val="2E5A88"/>
          <w:sz w:val="21"/>
        </w:rPr>
        <w:t xml:space="preserve">Conclusion — </w:t>
      </w:r>
      <w:r>
        <w:rPr>
          <w:sz w:val="21"/>
        </w:rPr>
        <w:t>We document a real, repeatable, universe-general mean-reversion mechanism that does NOT clear realistic intraday transaction costs. The strongest in-sample NSE result is statistically indistinguishable from luck after Deflated-Sharpe correction (n=2), and on the breadth/crypto universe the strategy is net-negative. We present this as a rigorous negative result and a methodological contribution: the obstacle is execution cost and turnover, not signal, so the productive next step is structural (lower-frequency re-anchoring, a cheaper venue, maker execution) rather than parametric.</w:t>
      </w:r>
    </w:p>
    <w:p>
      <w:r>
        <w:rPr>
          <w:b/>
          <w:color w:val="2E5A88"/>
          <w:sz w:val="20"/>
        </w:rPr>
        <w:t xml:space="preserve">Keywords:  </w:t>
      </w:r>
      <w:r>
        <w:rPr>
          <w:sz w:val="20"/>
        </w:rPr>
        <w:t>pairs trading; cointegration; Engle–Granger; Johansen; Ornstein–Uhlenbeck; Bertram thresholds; Kalman filter; adaptive equilibrium; Deflated Sharpe Ratio; PBO; walk-forward; NSE; crypto.</w:t>
      </w:r>
    </w:p>
    <w:p>
      <w:r>
        <w:br w:type="page"/>
      </w:r>
    </w:p>
    <w:p>
      <w:pPr>
        <w:pStyle w:val="Heading1"/>
      </w:pPr>
      <w:r>
        <w:rPr>
          <w:color w:val="1F3255"/>
        </w:rPr>
        <w:t>Contents</w:t>
      </w:r>
    </w:p>
    <w:p>
      <w:r>
        <w:fldChar w:fldCharType="begin"/>
        <w:instrText xml:space="preserve">TOC \o "1-2" \h \z \u</w:instrText>
        <w:fldChar w:fldCharType="separate">
          <w:t>Right-click and choose “Update Field” to build the Table of Contents.</w:t>
        </w:fldChar>
        <w:fldChar w:fldCharType="end"/>
      </w:r>
    </w:p>
    <w:p>
      <w:r>
        <w:br w:type="page"/>
      </w:r>
    </w:p>
    <w:p>
      <w:pPr>
        <w:pStyle w:val="Heading1"/>
      </w:pPr>
      <w:r>
        <w:rPr>
          <w:color w:val="1F3255"/>
        </w:rPr>
        <w:t>1.  Executive Summary — the Honest Verdict</w:t>
      </w:r>
    </w:p>
    <w:p>
      <w:pPr>
        <w:spacing w:after="120"/>
      </w:pPr>
      <w:r>
        <w:rPr>
          <w:b/>
          <w:i w:val="0"/>
          <w:sz w:val="21"/>
        </w:rPr>
        <w:t xml:space="preserve">The headline finding is a disciplined negative. </w:t>
      </w:r>
      <w:r>
        <w:rPr>
          <w:b w:val="0"/>
          <w:i w:val="0"/>
          <w:sz w:val="21"/>
        </w:rPr>
        <w:t xml:space="preserve">Across four years of staged development — NSE data engineering, a daily walk-forward baseline, an intraday Ornstein–Uhlenbeck/Bertram engine, an adaptive Kalman-equilibrium extension, and a crypto out-of-sample retest — we find a </w:t>
      </w:r>
      <w:r>
        <w:rPr>
          <w:b/>
          <w:i w:val="0"/>
          <w:sz w:val="21"/>
        </w:rPr>
        <w:t>real, repeatable, universe-general mean-reversion mechanism that does not clear realistic intraday transaction costs.</w:t>
      </w:r>
    </w:p>
    <w:p>
      <w:pPr>
        <w:spacing w:after="120"/>
      </w:pPr>
      <w:r>
        <w:rPr>
          <w:b w:val="0"/>
          <w:i w:val="0"/>
          <w:sz w:val="21"/>
        </w:rPr>
        <w:t>The adaptive equilibrium filter genuinely extracts more signal than a frozen cointegration relationship: it beats the frozen engine on gross and net Sharpe on the matched NSE universe, and the same ordering replicates on a completely different (crypto) universe, where the adaptive engine is uniquely positive on gross return. That cross-universe replication is the positive methodological result. But two facts gate any deployment claim: (i) the strongest NSE result rests on only n=2 intraday pair-folds and, after Deflated-Sharpe correction for the number of trials, is statistically indistinguishable from luck (DSR p = 0.192); and (ii) on the breadth crypto universe — where the statistics are trustworthy — the net edge is decisively negative (net DSR 0.002). Gross is alive, net is dead: the obstacle is execution cost and turnover, not the signal.</w:t>
      </w:r>
    </w:p>
    <w:p>
      <w:pPr>
        <w:spacing w:after="60"/>
      </w:pPr>
      <w:r>
        <w:rPr>
          <w:b/>
          <w:color w:val="2E5A88"/>
          <w:sz w:val="18"/>
        </w:rPr>
        <w:t xml:space="preserve">Table 1. </w:t>
      </w:r>
      <w:r>
        <w:rPr>
          <w:i/>
          <w:color w:val="555555"/>
          <w:sz w:val="18"/>
        </w:rPr>
        <w:t>Headline result ladder (all net figures are after the β-aware (1+β) cost). Sources: reports/backtest_portfolio_metrics.csv, reports/phase3_ou/figures/matched_universe/matched_metrics.csv, reports/phase4/verification/1b_eight_cell_table.csv, reports/phase4/dsr_pbo/2b_dsr.csv, reports/phase4/crypto_adaptive/dsr_pbo_kalman.csv.</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fill="1F3255"/>
          </w:tcPr>
          <w:p>
            <w:pPr>
              <w:jc w:val="left"/>
            </w:pPr>
            <w:r/>
            <w:r>
              <w:rPr>
                <w:b/>
                <w:color w:val="FFFFFF"/>
                <w:sz w:val="17"/>
              </w:rPr>
              <w:t>stage</w:t>
            </w:r>
          </w:p>
        </w:tc>
        <w:tc>
          <w:tcPr>
            <w:tcW w:type="dxa" w:w="1206"/>
            <w:shd w:val="clear" w:fill="1F3255"/>
          </w:tcPr>
          <w:p>
            <w:pPr>
              <w:jc w:val="center"/>
            </w:pPr>
            <w:r/>
            <w:r>
              <w:rPr>
                <w:b/>
                <w:color w:val="FFFFFF"/>
                <w:sz w:val="17"/>
              </w:rPr>
              <w:t>universe</w:t>
            </w:r>
          </w:p>
        </w:tc>
        <w:tc>
          <w:tcPr>
            <w:tcW w:type="dxa" w:w="1206"/>
            <w:shd w:val="clear" w:fill="1F3255"/>
          </w:tcPr>
          <w:p>
            <w:pPr>
              <w:jc w:val="center"/>
            </w:pPr>
            <w:r/>
            <w:r>
              <w:rPr>
                <w:b/>
                <w:color w:val="FFFFFF"/>
                <w:sz w:val="17"/>
              </w:rPr>
              <w:t>gross tot</w:t>
            </w:r>
          </w:p>
        </w:tc>
        <w:tc>
          <w:tcPr>
            <w:tcW w:type="dxa" w:w="1206"/>
            <w:shd w:val="clear" w:fill="1F3255"/>
          </w:tcPr>
          <w:p>
            <w:pPr>
              <w:jc w:val="center"/>
            </w:pPr>
            <w:r/>
            <w:r>
              <w:rPr>
                <w:b/>
                <w:color w:val="FFFFFF"/>
                <w:sz w:val="17"/>
              </w:rPr>
              <w:t>net tot</w:t>
            </w:r>
          </w:p>
        </w:tc>
        <w:tc>
          <w:tcPr>
            <w:tcW w:type="dxa" w:w="1206"/>
            <w:shd w:val="clear" w:fill="1F3255"/>
          </w:tcPr>
          <w:p>
            <w:pPr>
              <w:jc w:val="center"/>
            </w:pPr>
            <w:r/>
            <w:r>
              <w:rPr>
                <w:b/>
                <w:color w:val="FFFFFF"/>
                <w:sz w:val="17"/>
              </w:rPr>
              <w:t>gross Sh</w:t>
            </w:r>
          </w:p>
        </w:tc>
        <w:tc>
          <w:tcPr>
            <w:tcW w:type="dxa" w:w="1206"/>
            <w:shd w:val="clear" w:fill="1F3255"/>
          </w:tcPr>
          <w:p>
            <w:pPr>
              <w:jc w:val="center"/>
            </w:pPr>
            <w:r/>
            <w:r>
              <w:rPr>
                <w:b/>
                <w:color w:val="FFFFFF"/>
                <w:sz w:val="17"/>
              </w:rPr>
              <w:t>net Sh</w:t>
            </w:r>
          </w:p>
        </w:tc>
        <w:tc>
          <w:tcPr>
            <w:tcW w:type="dxa" w:w="1206"/>
            <w:shd w:val="clear" w:fill="1F3255"/>
          </w:tcPr>
          <w:p>
            <w:pPr>
              <w:jc w:val="center"/>
            </w:pPr>
            <w:r/>
            <w:r>
              <w:rPr>
                <w:b/>
                <w:color w:val="FFFFFF"/>
                <w:sz w:val="17"/>
              </w:rPr>
              <w:t>DSR</w:t>
            </w:r>
          </w:p>
        </w:tc>
        <w:tc>
          <w:tcPr>
            <w:tcW w:type="dxa" w:w="1206"/>
            <w:shd w:val="clear" w:fill="1F3255"/>
          </w:tcPr>
          <w:p>
            <w:pPr>
              <w:jc w:val="center"/>
            </w:pPr>
            <w:r/>
            <w:r>
              <w:rPr>
                <w:b/>
                <w:color w:val="FFFFFF"/>
                <w:sz w:val="17"/>
              </w:rPr>
              <w:t>reading</w:t>
            </w:r>
          </w:p>
        </w:tc>
      </w:tr>
      <w:tr>
        <w:tc>
          <w:tcPr>
            <w:tcW w:type="dxa" w:w="1206"/>
          </w:tcPr>
          <w:p>
            <w:pPr>
              <w:jc w:val="left"/>
            </w:pPr>
            <w:r/>
            <w:r>
              <w:rPr>
                <w:sz w:val="17"/>
              </w:rPr>
              <w:t>NSE daily baseline (Phase 2A)</w:t>
            </w:r>
          </w:p>
        </w:tc>
        <w:tc>
          <w:tcPr>
            <w:tcW w:type="dxa" w:w="1206"/>
          </w:tcPr>
          <w:p>
            <w:pPr>
              <w:jc w:val="center"/>
            </w:pPr>
            <w:r/>
            <w:r>
              <w:rPr>
                <w:sz w:val="17"/>
              </w:rPr>
              <w:t>492→341 univ.</w:t>
            </w:r>
          </w:p>
        </w:tc>
        <w:tc>
          <w:tcPr>
            <w:tcW w:type="dxa" w:w="1206"/>
          </w:tcPr>
          <w:p>
            <w:pPr>
              <w:jc w:val="center"/>
            </w:pPr>
            <w:r/>
            <w:r>
              <w:rPr>
                <w:sz w:val="17"/>
              </w:rPr>
              <w:t>297.35%</w:t>
            </w:r>
          </w:p>
        </w:tc>
        <w:tc>
          <w:tcPr>
            <w:tcW w:type="dxa" w:w="1206"/>
          </w:tcPr>
          <w:p>
            <w:pPr>
              <w:jc w:val="center"/>
            </w:pPr>
            <w:r/>
            <w:r>
              <w:rPr>
                <w:sz w:val="17"/>
              </w:rPr>
              <w:t>215.67%</w:t>
            </w:r>
          </w:p>
        </w:tc>
        <w:tc>
          <w:tcPr>
            <w:tcW w:type="dxa" w:w="1206"/>
          </w:tcPr>
          <w:p>
            <w:pPr>
              <w:jc w:val="center"/>
            </w:pPr>
            <w:r/>
            <w:r>
              <w:rPr>
                <w:sz w:val="17"/>
              </w:rPr>
              <w:t>1.28</w:t>
            </w:r>
          </w:p>
        </w:tc>
        <w:tc>
          <w:tcPr>
            <w:tcW w:type="dxa" w:w="1206"/>
          </w:tcPr>
          <w:p>
            <w:pPr>
              <w:jc w:val="center"/>
            </w:pPr>
            <w:r/>
            <w:r>
              <w:rPr>
                <w:sz w:val="17"/>
              </w:rPr>
              <w:t>1.08</w:t>
            </w:r>
          </w:p>
        </w:tc>
        <w:tc>
          <w:tcPr>
            <w:tcW w:type="dxa" w:w="1206"/>
          </w:tcPr>
          <w:p>
            <w:pPr>
              <w:jc w:val="center"/>
            </w:pPr>
            <w:r/>
            <w:r>
              <w:rPr>
                <w:sz w:val="17"/>
              </w:rPr>
              <w:t>—</w:t>
            </w:r>
          </w:p>
        </w:tc>
        <w:tc>
          <w:tcPr>
            <w:tcW w:type="dxa" w:w="1206"/>
          </w:tcPr>
          <w:p>
            <w:pPr>
              <w:jc w:val="center"/>
            </w:pPr>
            <w:r/>
            <w:r>
              <w:rPr>
                <w:sz w:val="17"/>
              </w:rPr>
              <w:t>net-profitable; broad universe</w:t>
            </w:r>
          </w:p>
        </w:tc>
      </w:tr>
      <w:tr>
        <w:tc>
          <w:tcPr>
            <w:tcW w:type="dxa" w:w="1206"/>
            <w:shd w:val="clear" w:fill="EEF2F8"/>
          </w:tcPr>
          <w:p>
            <w:pPr>
              <w:jc w:val="left"/>
            </w:pPr>
            <w:r/>
            <w:r>
              <w:rPr>
                <w:sz w:val="17"/>
              </w:rPr>
              <w:t>NSE intraday frozen-OU best (Ph 3)</w:t>
            </w:r>
          </w:p>
        </w:tc>
        <w:tc>
          <w:tcPr>
            <w:tcW w:type="dxa" w:w="1206"/>
            <w:shd w:val="clear" w:fill="EEF2F8"/>
          </w:tcPr>
          <w:p>
            <w:pPr>
              <w:jc w:val="center"/>
            </w:pPr>
            <w:r/>
            <w:r>
              <w:rPr>
                <w:sz w:val="17"/>
              </w:rPr>
              <w:t>2 pair-folds</w:t>
            </w:r>
          </w:p>
        </w:tc>
        <w:tc>
          <w:tcPr>
            <w:tcW w:type="dxa" w:w="1206"/>
            <w:shd w:val="clear" w:fill="EEF2F8"/>
          </w:tcPr>
          <w:p>
            <w:pPr>
              <w:jc w:val="center"/>
            </w:pPr>
            <w:r/>
            <w:r>
              <w:rPr>
                <w:sz w:val="17"/>
              </w:rPr>
              <w:t>54.87%</w:t>
            </w:r>
          </w:p>
        </w:tc>
        <w:tc>
          <w:tcPr>
            <w:tcW w:type="dxa" w:w="1206"/>
            <w:shd w:val="clear" w:fill="EEF2F8"/>
          </w:tcPr>
          <w:p>
            <w:pPr>
              <w:jc w:val="center"/>
            </w:pPr>
            <w:r/>
            <w:r>
              <w:rPr>
                <w:sz w:val="17"/>
              </w:rPr>
              <w:t>46.20%</w:t>
            </w:r>
          </w:p>
        </w:tc>
        <w:tc>
          <w:tcPr>
            <w:tcW w:type="dxa" w:w="1206"/>
            <w:shd w:val="clear" w:fill="EEF2F8"/>
          </w:tcPr>
          <w:p>
            <w:pPr>
              <w:jc w:val="center"/>
            </w:pPr>
            <w:r/>
            <w:r>
              <w:rPr>
                <w:sz w:val="17"/>
              </w:rPr>
              <w:t>1.08</w:t>
            </w:r>
          </w:p>
        </w:tc>
        <w:tc>
          <w:tcPr>
            <w:tcW w:type="dxa" w:w="1206"/>
            <w:shd w:val="clear" w:fill="EEF2F8"/>
          </w:tcPr>
          <w:p>
            <w:pPr>
              <w:jc w:val="center"/>
            </w:pPr>
            <w:r/>
            <w:r>
              <w:rPr>
                <w:sz w:val="17"/>
              </w:rPr>
              <w:t>0.95</w:t>
            </w:r>
          </w:p>
        </w:tc>
        <w:tc>
          <w:tcPr>
            <w:tcW w:type="dxa" w:w="1206"/>
            <w:shd w:val="clear" w:fill="EEF2F8"/>
          </w:tcPr>
          <w:p>
            <w:pPr>
              <w:jc w:val="center"/>
            </w:pPr>
            <w:r/>
            <w:r>
              <w:rPr>
                <w:sz w:val="17"/>
              </w:rPr>
              <w:t>0.23</w:t>
            </w:r>
          </w:p>
        </w:tc>
        <w:tc>
          <w:tcPr>
            <w:tcW w:type="dxa" w:w="1206"/>
            <w:shd w:val="clear" w:fill="EEF2F8"/>
          </w:tcPr>
          <w:p>
            <w:pPr>
              <w:jc w:val="center"/>
            </w:pPr>
            <w:r/>
            <w:r>
              <w:rPr>
                <w:sz w:val="17"/>
              </w:rPr>
              <w:t>matched universe; n=2</w:t>
            </w:r>
          </w:p>
        </w:tc>
      </w:tr>
      <w:tr>
        <w:tc>
          <w:tcPr>
            <w:tcW w:type="dxa" w:w="1206"/>
          </w:tcPr>
          <w:p>
            <w:pPr>
              <w:jc w:val="left"/>
            </w:pPr>
            <w:r/>
            <w:r>
              <w:rPr>
                <w:sz w:val="17"/>
              </w:rPr>
              <w:t>NSE intraday Kalman best (Ph 4)</w:t>
            </w:r>
          </w:p>
        </w:tc>
        <w:tc>
          <w:tcPr>
            <w:tcW w:type="dxa" w:w="1206"/>
          </w:tcPr>
          <w:p>
            <w:pPr>
              <w:jc w:val="center"/>
            </w:pPr>
            <w:r/>
            <w:r>
              <w:rPr>
                <w:sz w:val="17"/>
              </w:rPr>
              <w:t>2 pair-folds</w:t>
            </w:r>
          </w:p>
        </w:tc>
        <w:tc>
          <w:tcPr>
            <w:tcW w:type="dxa" w:w="1206"/>
          </w:tcPr>
          <w:p>
            <w:pPr>
              <w:jc w:val="center"/>
            </w:pPr>
            <w:r/>
            <w:r>
              <w:rPr>
                <w:sz w:val="17"/>
              </w:rPr>
              <w:t>161.35%</w:t>
            </w:r>
          </w:p>
        </w:tc>
        <w:tc>
          <w:tcPr>
            <w:tcW w:type="dxa" w:w="1206"/>
          </w:tcPr>
          <w:p>
            <w:pPr>
              <w:jc w:val="center"/>
            </w:pPr>
            <w:r/>
            <w:r>
              <w:rPr>
                <w:sz w:val="17"/>
              </w:rPr>
              <w:t>139.94%</w:t>
            </w:r>
          </w:p>
        </w:tc>
        <w:tc>
          <w:tcPr>
            <w:tcW w:type="dxa" w:w="1206"/>
          </w:tcPr>
          <w:p>
            <w:pPr>
              <w:jc w:val="center"/>
            </w:pPr>
            <w:r/>
            <w:r>
              <w:rPr>
                <w:sz w:val="17"/>
              </w:rPr>
              <w:t>2.32</w:t>
            </w:r>
          </w:p>
        </w:tc>
        <w:tc>
          <w:tcPr>
            <w:tcW w:type="dxa" w:w="1206"/>
          </w:tcPr>
          <w:p>
            <w:pPr>
              <w:jc w:val="center"/>
            </w:pPr>
            <w:r/>
            <w:r>
              <w:rPr>
                <w:sz w:val="17"/>
              </w:rPr>
              <w:t>2.15</w:t>
            </w:r>
          </w:p>
        </w:tc>
        <w:tc>
          <w:tcPr>
            <w:tcW w:type="dxa" w:w="1206"/>
          </w:tcPr>
          <w:p>
            <w:pPr>
              <w:jc w:val="center"/>
            </w:pPr>
            <w:r/>
            <w:r>
              <w:rPr>
                <w:sz w:val="17"/>
              </w:rPr>
              <w:t>0.81</w:t>
            </w:r>
          </w:p>
        </w:tc>
        <w:tc>
          <w:tcPr>
            <w:tcW w:type="dxa" w:w="1206"/>
          </w:tcPr>
          <w:p>
            <w:pPr>
              <w:jc w:val="center"/>
            </w:pPr>
            <w:r/>
            <w:r>
              <w:rPr>
                <w:sz w:val="17"/>
              </w:rPr>
              <w:t>clears luck bar; p=0.192</w:t>
            </w:r>
          </w:p>
        </w:tc>
      </w:tr>
      <w:tr>
        <w:tc>
          <w:tcPr>
            <w:tcW w:type="dxa" w:w="1206"/>
            <w:shd w:val="clear" w:fill="EEF2F8"/>
          </w:tcPr>
          <w:p>
            <w:pPr>
              <w:jc w:val="left"/>
            </w:pPr>
            <w:r/>
            <w:r>
              <w:rPr>
                <w:sz w:val="17"/>
              </w:rPr>
              <w:t>Crypto Kalman best, Regime A (A10)</w:t>
            </w:r>
          </w:p>
        </w:tc>
        <w:tc>
          <w:tcPr>
            <w:tcW w:type="dxa" w:w="1206"/>
            <w:shd w:val="clear" w:fill="EEF2F8"/>
          </w:tcPr>
          <w:p>
            <w:pPr>
              <w:jc w:val="center"/>
            </w:pPr>
            <w:r/>
            <w:r>
              <w:rPr>
                <w:sz w:val="17"/>
              </w:rPr>
              <w:t>14 pairs×540d</w:t>
            </w:r>
          </w:p>
        </w:tc>
        <w:tc>
          <w:tcPr>
            <w:tcW w:type="dxa" w:w="1206"/>
            <w:shd w:val="clear" w:fill="EEF2F8"/>
          </w:tcPr>
          <w:p>
            <w:pPr>
              <w:jc w:val="center"/>
            </w:pPr>
            <w:r/>
            <w:r>
              <w:rPr>
                <w:sz w:val="17"/>
              </w:rPr>
              <w:t>+8.96%</w:t>
            </w:r>
          </w:p>
        </w:tc>
        <w:tc>
          <w:tcPr>
            <w:tcW w:type="dxa" w:w="1206"/>
            <w:shd w:val="clear" w:fill="EEF2F8"/>
          </w:tcPr>
          <w:p>
            <w:pPr>
              <w:jc w:val="center"/>
            </w:pPr>
            <w:r/>
            <w:r>
              <w:rPr>
                <w:sz w:val="17"/>
              </w:rPr>
              <w:t>−63.20%</w:t>
            </w:r>
          </w:p>
        </w:tc>
        <w:tc>
          <w:tcPr>
            <w:tcW w:type="dxa" w:w="1206"/>
            <w:shd w:val="clear" w:fill="EEF2F8"/>
          </w:tcPr>
          <w:p>
            <w:pPr>
              <w:jc w:val="center"/>
            </w:pPr>
            <w:r/>
            <w:r>
              <w:rPr>
                <w:sz w:val="17"/>
              </w:rPr>
              <w:t>+0.11</w:t>
            </w:r>
          </w:p>
        </w:tc>
        <w:tc>
          <w:tcPr>
            <w:tcW w:type="dxa" w:w="1206"/>
            <w:shd w:val="clear" w:fill="EEF2F8"/>
          </w:tcPr>
          <w:p>
            <w:pPr>
              <w:jc w:val="center"/>
            </w:pPr>
            <w:r/>
            <w:r>
              <w:rPr>
                <w:sz w:val="17"/>
              </w:rPr>
              <w:t>−1.31</w:t>
            </w:r>
          </w:p>
        </w:tc>
        <w:tc>
          <w:tcPr>
            <w:tcW w:type="dxa" w:w="1206"/>
            <w:shd w:val="clear" w:fill="EEF2F8"/>
          </w:tcPr>
          <w:p>
            <w:pPr>
              <w:jc w:val="center"/>
            </w:pPr>
            <w:r/>
            <w:r>
              <w:rPr>
                <w:sz w:val="17"/>
              </w:rPr>
              <w:t>0.002</w:t>
            </w:r>
          </w:p>
        </w:tc>
        <w:tc>
          <w:tcPr>
            <w:tcW w:type="dxa" w:w="1206"/>
            <w:shd w:val="clear" w:fill="EEF2F8"/>
          </w:tcPr>
          <w:p>
            <w:pPr>
              <w:jc w:val="center"/>
            </w:pPr>
            <w:r/>
            <w:r>
              <w:rPr>
                <w:sz w:val="17"/>
              </w:rPr>
              <w:t>gross alive, net dead</w:t>
            </w:r>
          </w:p>
        </w:tc>
      </w:tr>
    </w:tbl>
    <w:p>
      <w:pPr>
        <w:spacing w:after="120"/>
      </w:pPr>
    </w:p>
    <w:p>
      <w:pPr>
        <w:jc w:val="center"/>
      </w:pPr>
    </w:p>
    <w:p>
      <w:pPr>
        <w:jc w:val="center"/>
      </w:pPr>
      <w:r>
        <w:drawing>
          <wp:inline xmlns:a="http://schemas.openxmlformats.org/drawingml/2006/main" xmlns:pic="http://schemas.openxmlformats.org/drawingml/2006/picture">
            <wp:extent cx="5852160" cy="2235833"/>
            <wp:docPr id="1" name="Picture 1"/>
            <wp:cNvGraphicFramePr>
              <a:graphicFrameLocks noChangeAspect="1"/>
            </wp:cNvGraphicFramePr>
            <a:graphic>
              <a:graphicData uri="http://schemas.openxmlformats.org/drawingml/2006/picture">
                <pic:pic>
                  <pic:nvPicPr>
                    <pic:cNvPr id="0" name="portfolio_equity.png"/>
                    <pic:cNvPicPr/>
                  </pic:nvPicPr>
                  <pic:blipFill>
                    <a:blip r:embed="rId9"/>
                    <a:stretch>
                      <a:fillRect/>
                    </a:stretch>
                  </pic:blipFill>
                  <pic:spPr>
                    <a:xfrm>
                      <a:off x="0" y="0"/>
                      <a:ext cx="5852160" cy="2235833"/>
                    </a:xfrm>
                    <a:prstGeom prst="rect"/>
                  </pic:spPr>
                </pic:pic>
              </a:graphicData>
            </a:graphic>
          </wp:inline>
        </w:drawing>
      </w:r>
    </w:p>
    <w:p>
      <w:pPr>
        <w:spacing w:after="200"/>
        <w:jc w:val="center"/>
      </w:pPr>
      <w:r>
        <w:rPr>
          <w:b/>
          <w:color w:val="2E5A88"/>
          <w:sz w:val="18"/>
        </w:rPr>
        <w:t xml:space="preserve">Figure 1. </w:t>
      </w:r>
      <w:r>
        <w:rPr>
          <w:i/>
          <w:color w:val="555555"/>
          <w:sz w:val="18"/>
        </w:rPr>
        <w:t>NSE adaptive equity (matched universe). Portfolio NAV with gross and net lines and an underwater (drawdown) panel, for the Kalman best cell alongside the frozen-OU and rolling-z companions. The adaptive arm compounds to roughly 2.4× net over the two concatenated out-of-sample folds. Source: final_nse_plots.py.</w:t>
      </w:r>
    </w:p>
    <w:p>
      <w:pPr>
        <w:jc w:val="center"/>
      </w:pPr>
    </w:p>
    <w:p>
      <w:pPr>
        <w:jc w:val="center"/>
      </w:pPr>
      <w:r>
        <w:drawing>
          <wp:inline xmlns:a="http://schemas.openxmlformats.org/drawingml/2006/main" xmlns:pic="http://schemas.openxmlformats.org/drawingml/2006/picture">
            <wp:extent cx="5852160" cy="1674401"/>
            <wp:docPr id="2" name="Picture 2"/>
            <wp:cNvGraphicFramePr>
              <a:graphicFrameLocks noChangeAspect="1"/>
            </wp:cNvGraphicFramePr>
            <a:graphic>
              <a:graphicData uri="http://schemas.openxmlformats.org/drawingml/2006/picture">
                <pic:pic>
                  <pic:nvPicPr>
                    <pic:cNvPr id="0" name="portfolio_equity.png"/>
                    <pic:cNvPicPr/>
                  </pic:nvPicPr>
                  <pic:blipFill>
                    <a:blip r:embed="rId10"/>
                    <a:stretch>
                      <a:fillRect/>
                    </a:stretch>
                  </pic:blipFill>
                  <pic:spPr>
                    <a:xfrm>
                      <a:off x="0" y="0"/>
                      <a:ext cx="5852160" cy="1674401"/>
                    </a:xfrm>
                    <a:prstGeom prst="rect"/>
                  </pic:spPr>
                </pic:pic>
              </a:graphicData>
            </a:graphic>
          </wp:inline>
        </w:drawing>
      </w:r>
    </w:p>
    <w:p>
      <w:pPr>
        <w:spacing w:after="200"/>
        <w:jc w:val="center"/>
      </w:pPr>
      <w:r>
        <w:rPr>
          <w:b/>
          <w:color w:val="2E5A88"/>
          <w:sz w:val="18"/>
        </w:rPr>
        <w:t xml:space="preserve">Figure 2. </w:t>
      </w:r>
      <w:r>
        <w:rPr>
          <w:i/>
          <w:color w:val="555555"/>
          <w:sz w:val="18"/>
        </w:rPr>
        <w:t>Crypto adaptive equity (breadth universe, 14 pairs × 540 sessions). Gross stays near flat-to-positive for the Kalman arm while net craters under intraday taker + spread cost; Regime B is funding-unpriced [TODO]. This is the cost wall that blocks deployment. Source: final_crypto_plots.py.</w:t>
      </w:r>
    </w:p>
    <w:p>
      <w:pPr>
        <w:jc w:val="center"/>
      </w:pPr>
    </w:p>
    <w:p>
      <w:pPr>
        <w:jc w:val="center"/>
      </w:pPr>
      <w:r>
        <w:drawing>
          <wp:inline xmlns:a="http://schemas.openxmlformats.org/drawingml/2006/main" xmlns:pic="http://schemas.openxmlformats.org/drawingml/2006/picture">
            <wp:extent cx="4937760" cy="3095116"/>
            <wp:docPr id="3" name="Picture 3"/>
            <wp:cNvGraphicFramePr>
              <a:graphicFrameLocks noChangeAspect="1"/>
            </wp:cNvGraphicFramePr>
            <a:graphic>
              <a:graphicData uri="http://schemas.openxmlformats.org/drawingml/2006/picture">
                <pic:pic>
                  <pic:nvPicPr>
                    <pic:cNvPr id="0" name="pbo_logit_distribution.png"/>
                    <pic:cNvPicPr/>
                  </pic:nvPicPr>
                  <pic:blipFill>
                    <a:blip r:embed="rId11"/>
                    <a:stretch>
                      <a:fillRect/>
                    </a:stretch>
                  </pic:blipFill>
                  <pic:spPr>
                    <a:xfrm>
                      <a:off x="0" y="0"/>
                      <a:ext cx="4937760" cy="3095116"/>
                    </a:xfrm>
                    <a:prstGeom prst="rect"/>
                  </pic:spPr>
                </pic:pic>
              </a:graphicData>
            </a:graphic>
          </wp:inline>
        </w:drawing>
      </w:r>
    </w:p>
    <w:p>
      <w:pPr>
        <w:spacing w:after="200"/>
        <w:jc w:val="center"/>
      </w:pPr>
      <w:r>
        <w:rPr>
          <w:b/>
          <w:color w:val="2E5A88"/>
          <w:sz w:val="18"/>
        </w:rPr>
        <w:t xml:space="preserve">Figure 3. </w:t>
      </w:r>
      <w:r>
        <w:rPr>
          <w:i/>
          <w:color w:val="555555"/>
          <w:sz w:val="18"/>
        </w:rPr>
        <w:t>The validation gate (NSE matched universe). CSCV logit distribution behind the Probability of Backtest Overfitting (PBO = 0.104). Only the adaptive Kalman arm clears the N=46 Deflated-Sharpe luck bar; its p-value (0.192) still falls short of significance. Source: s2_dsr_pbo.py.</w:t>
      </w:r>
    </w:p>
    <w:p>
      <w:r>
        <w:br w:type="page"/>
      </w:r>
    </w:p>
    <w:p>
      <w:pPr>
        <w:pStyle w:val="Heading1"/>
      </w:pPr>
      <w:r>
        <w:rPr>
          <w:color w:val="1F3255"/>
        </w:rPr>
        <w:t>2.  Introduction and Objective</w:t>
      </w:r>
    </w:p>
    <w:p>
      <w:pPr>
        <w:pStyle w:val="Heading2"/>
      </w:pPr>
      <w:r>
        <w:rPr>
          <w:color w:val="1F3255"/>
        </w:rPr>
        <w:t>2.1  Statistical-arbitrage pairs trading</w:t>
      </w:r>
    </w:p>
    <w:p>
      <w:pPr>
        <w:spacing w:after="120"/>
      </w:pPr>
      <w:r>
        <w:rPr>
          <w:b w:val="0"/>
          <w:i w:val="0"/>
          <w:sz w:val="21"/>
        </w:rPr>
        <w:t>Pairs trading is the canonical market-neutral statistical-arbitrage strategy: two assets whose prices share a long-run equilibrium are traded as a single mean-reverting spread — short the rich leg, long the cheap leg — and the position is unwound when the spread reverts. The edge depends on (a) the existence of a stable cointegrating relationship, (b) a spread that mean-reverts fast enough to be capital-efficient yet slowly enough to be tradeable net of cost, and (c) execution cheap enough that round-trip frictions do not consume the captured dislocation.</w:t>
      </w:r>
    </w:p>
    <w:p>
      <w:pPr>
        <w:pStyle w:val="Heading2"/>
      </w:pPr>
      <w:r>
        <w:rPr>
          <w:color w:val="1F3255"/>
        </w:rPr>
        <w:t>2.2  Cash-market constraints and the decay context</w:t>
      </w:r>
    </w:p>
    <w:p>
      <w:pPr>
        <w:pStyle w:val="ListBullet"/>
      </w:pPr>
      <w:r>
        <w:rPr>
          <w:b/>
          <w:sz w:val="21"/>
        </w:rPr>
        <w:t xml:space="preserve">Decay of equity pairs:  </w:t>
      </w:r>
      <w:r>
        <w:rPr>
          <w:sz w:val="21"/>
        </w:rPr>
        <w:t>the equity-pairs edge has decayed as the strategy crowded — naive rolling-z mean reversion is largely arbitraged away on liquid names, which raises the bar for any claimed edge and motivates an explicit overfitting-aware validation gate.</w:t>
      </w:r>
    </w:p>
    <w:p>
      <w:pPr>
        <w:pStyle w:val="ListBullet"/>
      </w:pPr>
      <w:r>
        <w:rPr>
          <w:b/>
          <w:sz w:val="21"/>
        </w:rPr>
        <w:t xml:space="preserve">NSE cash constraints:  </w:t>
      </w:r>
      <w:r>
        <w:rPr>
          <w:sz w:val="21"/>
        </w:rPr>
        <w:t>the NSE cash segment does not permit native short selling for multi-day carry, lot-size discretisation adds friction, and the available daily history is split/bonus-only (dividends are NOT back-adjusted), so total-return effects are absent from the price series.</w:t>
      </w:r>
    </w:p>
    <w:p>
      <w:pPr>
        <w:pStyle w:val="ListBullet"/>
      </w:pPr>
      <w:r>
        <w:rPr>
          <w:b/>
          <w:sz w:val="21"/>
        </w:rPr>
        <w:t xml:space="preserve">Crypto → futures rationale:  </w:t>
      </w:r>
      <w:r>
        <w:rPr>
          <w:sz w:val="21"/>
        </w:rPr>
        <w:t>a venue with 24/7 trading, native two-sided leverage via perpetual futures, and genuine intraday co-movement is the natural place to retest the mechanism with breadth — and is a stepping stone toward a regulated futures (e.g. CME) deployment where the cash-market constraints do not bind.</w:t>
      </w:r>
    </w:p>
    <w:p>
      <w:pPr>
        <w:pStyle w:val="Heading2"/>
      </w:pPr>
      <w:r>
        <w:rPr>
          <w:color w:val="1F3255"/>
        </w:rPr>
        <w:t>2.3  Objective and thesis</w:t>
      </w:r>
    </w:p>
    <w:p>
      <w:pPr>
        <w:spacing w:after="120"/>
      </w:pPr>
      <w:r>
        <w:rPr>
          <w:b w:val="0"/>
          <w:i w:val="0"/>
          <w:sz w:val="21"/>
        </w:rPr>
        <w:t>The thesis under test: does an adaptive equilibrium — letting the spread's mean-reversion level track slowly rather than freezing it at the in-sample estimate — produce a transaction-cost-robust improvement over a frozen cointegration relationship? The study answers this in three movements: establish a disciplined NSE pipeline and baseline (Phases 1–2); develop and stress the adaptive engine at intraday frequency (Phases 3–4); and retest the mechanism out-of-sample with breadth on crypto, gating every claim through a Deflated-Sharpe / PBO filter.</w:t>
      </w:r>
    </w:p>
    <w:p>
      <w:pPr>
        <w:pStyle w:val="Heading1"/>
      </w:pPr>
      <w:r>
        <w:rPr>
          <w:color w:val="1F3255"/>
        </w:rPr>
        <w:t>3.  Data</w:t>
      </w:r>
    </w:p>
    <w:p>
      <w:pPr>
        <w:pStyle w:val="Heading2"/>
      </w:pPr>
      <w:r>
        <w:rPr>
          <w:color w:val="1F3255"/>
        </w:rPr>
        <w:t>3.1  NSE daily universe and the seven-rule cleaning cascade</w:t>
      </w:r>
    </w:p>
    <w:p>
      <w:pPr>
        <w:spacing w:after="120"/>
      </w:pPr>
      <w:r>
        <w:rPr>
          <w:b w:val="0"/>
          <w:i w:val="0"/>
          <w:sz w:val="21"/>
        </w:rPr>
        <w:t>The raw source is a read-only archive of per-symbol NSE daily OHLCV CSVs (/Data6/db): 492 symbols and ~1.6 million rows. The history is split/bonus-only — a dividend-flavor probe (Table 2) shows split adjustments present but dividends unadjusted on all five dividend-paying probe names. Cleaning is a deterministic, idempotent seven-rule cascade; each rule is a pure function with logged row counts.</w:t>
      </w:r>
    </w:p>
    <w:p>
      <w:pPr>
        <w:spacing w:after="60"/>
      </w:pPr>
      <w:r>
        <w:rPr>
          <w:b/>
          <w:color w:val="2E5A88"/>
          <w:sz w:val="18"/>
        </w:rPr>
        <w:t xml:space="preserve">Table 1. </w:t>
      </w:r>
      <w:r>
        <w:rPr>
          <w:i/>
          <w:color w:val="555555"/>
          <w:sz w:val="18"/>
        </w:rPr>
        <w:t>The seven-rule cleaning cascade (src/apt/data, config/default.yaml cleaning/liquidity/universe blocks). Rule 6 (min-history) and Rule 7 (contiguity) gate the symbol count.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255"/>
          </w:tcPr>
          <w:p>
            <w:pPr>
              <w:jc w:val="left"/>
            </w:pPr>
            <w:r/>
            <w:r>
              <w:rPr>
                <w:b/>
                <w:color w:val="FFFFFF"/>
                <w:sz w:val="18"/>
              </w:rPr>
              <w:t>rule</w:t>
            </w:r>
          </w:p>
        </w:tc>
        <w:tc>
          <w:tcPr>
            <w:tcW w:type="dxa" w:w="3216"/>
            <w:shd w:val="clear" w:fill="1F3255"/>
          </w:tcPr>
          <w:p>
            <w:pPr>
              <w:jc w:val="center"/>
            </w:pPr>
            <w:r/>
            <w:r>
              <w:rPr>
                <w:b/>
                <w:color w:val="FFFFFF"/>
                <w:sz w:val="18"/>
              </w:rPr>
              <w:t>name</w:t>
            </w:r>
          </w:p>
        </w:tc>
        <w:tc>
          <w:tcPr>
            <w:tcW w:type="dxa" w:w="3216"/>
            <w:shd w:val="clear" w:fill="1F3255"/>
          </w:tcPr>
          <w:p>
            <w:pPr>
              <w:jc w:val="center"/>
            </w:pPr>
            <w:r/>
            <w:r>
              <w:rPr>
                <w:b/>
                <w:color w:val="FFFFFF"/>
                <w:sz w:val="18"/>
              </w:rPr>
              <w:t>operation</w:t>
            </w:r>
          </w:p>
        </w:tc>
      </w:tr>
      <w:tr>
        <w:tc>
          <w:tcPr>
            <w:tcW w:type="dxa" w:w="3216"/>
          </w:tcPr>
          <w:p>
            <w:pPr>
              <w:jc w:val="left"/>
            </w:pPr>
            <w:r/>
            <w:r>
              <w:rPr>
                <w:sz w:val="18"/>
              </w:rPr>
              <w:t>1</w:t>
            </w:r>
          </w:p>
        </w:tc>
        <w:tc>
          <w:tcPr>
            <w:tcW w:type="dxa" w:w="3216"/>
          </w:tcPr>
          <w:p>
            <w:pPr>
              <w:jc w:val="center"/>
            </w:pPr>
            <w:r/>
            <w:r>
              <w:rPr>
                <w:sz w:val="18"/>
              </w:rPr>
              <w:t>Trading-calendar filter</w:t>
            </w:r>
          </w:p>
        </w:tc>
        <w:tc>
          <w:tcPr>
            <w:tcW w:type="dxa" w:w="3216"/>
          </w:tcPr>
          <w:p>
            <w:pPr>
              <w:jc w:val="center"/>
            </w:pPr>
            <w:r/>
            <w:r>
              <w:rPr>
                <w:sz w:val="18"/>
              </w:rPr>
              <w:t>drop weekend/holiday/off-calendar bars</w:t>
            </w:r>
          </w:p>
        </w:tc>
      </w:tr>
      <w:tr>
        <w:tc>
          <w:tcPr>
            <w:tcW w:type="dxa" w:w="3216"/>
            <w:shd w:val="clear" w:fill="EEF2F8"/>
          </w:tcPr>
          <w:p>
            <w:pPr>
              <w:jc w:val="left"/>
            </w:pPr>
            <w:r/>
            <w:r>
              <w:rPr>
                <w:sz w:val="18"/>
              </w:rPr>
              <w:t>2</w:t>
            </w:r>
          </w:p>
        </w:tc>
        <w:tc>
          <w:tcPr>
            <w:tcW w:type="dxa" w:w="3216"/>
            <w:shd w:val="clear" w:fill="EEF2F8"/>
          </w:tcPr>
          <w:p>
            <w:pPr>
              <w:jc w:val="center"/>
            </w:pPr>
            <w:r/>
            <w:r>
              <w:rPr>
                <w:sz w:val="18"/>
              </w:rPr>
              <w:t>Residual-split patch</w:t>
            </w:r>
          </w:p>
        </w:tc>
        <w:tc>
          <w:tcPr>
            <w:tcW w:type="dxa" w:w="3216"/>
            <w:shd w:val="clear" w:fill="EEF2F8"/>
          </w:tcPr>
          <w:p>
            <w:pPr>
              <w:jc w:val="center"/>
            </w:pPr>
            <w:r/>
            <w:r>
              <w:rPr>
                <w:sz w:val="18"/>
              </w:rPr>
              <w:t>back-adjust pre-ex-date OHLC for residual splits (e.g. FEDERALBNK, VINATIORGA)</w:t>
            </w:r>
          </w:p>
        </w:tc>
      </w:tr>
      <w:tr>
        <w:tc>
          <w:tcPr>
            <w:tcW w:type="dxa" w:w="3216"/>
          </w:tcPr>
          <w:p>
            <w:pPr>
              <w:jc w:val="left"/>
            </w:pPr>
            <w:r/>
            <w:r>
              <w:rPr>
                <w:sz w:val="18"/>
              </w:rPr>
              <w:t>3</w:t>
            </w:r>
          </w:p>
        </w:tc>
        <w:tc>
          <w:tcPr>
            <w:tcW w:type="dxa" w:w="3216"/>
          </w:tcPr>
          <w:p>
            <w:pPr>
              <w:jc w:val="center"/>
            </w:pPr>
            <w:r/>
            <w:r>
              <w:rPr>
                <w:sz w:val="18"/>
              </w:rPr>
              <w:t>Phantom-seam trim</w:t>
            </w:r>
          </w:p>
        </w:tc>
        <w:tc>
          <w:tcPr>
            <w:tcW w:type="dxa" w:w="3216"/>
          </w:tcPr>
          <w:p>
            <w:pPr>
              <w:jc w:val="center"/>
            </w:pPr>
            <w:r/>
            <w:r>
              <w:rPr>
                <w:sz w:val="18"/>
              </w:rPr>
              <w:t>drop history before the last unexplained &gt;65% day-over-day jump (phantom_jump_threshold = 0.65)</w:t>
            </w:r>
          </w:p>
        </w:tc>
      </w:tr>
      <w:tr>
        <w:tc>
          <w:tcPr>
            <w:tcW w:type="dxa" w:w="3216"/>
            <w:shd w:val="clear" w:fill="EEF2F8"/>
          </w:tcPr>
          <w:p>
            <w:pPr>
              <w:jc w:val="left"/>
            </w:pPr>
            <w:r/>
            <w:r>
              <w:rPr>
                <w:sz w:val="18"/>
              </w:rPr>
              <w:t>4</w:t>
            </w:r>
          </w:p>
        </w:tc>
        <w:tc>
          <w:tcPr>
            <w:tcW w:type="dxa" w:w="3216"/>
            <w:shd w:val="clear" w:fill="EEF2F8"/>
          </w:tcPr>
          <w:p>
            <w:pPr>
              <w:jc w:val="center"/>
            </w:pPr>
            <w:r/>
            <w:r>
              <w:rPr>
                <w:sz w:val="18"/>
              </w:rPr>
              <w:t>Structural-event windowing</w:t>
            </w:r>
          </w:p>
        </w:tc>
        <w:tc>
          <w:tcPr>
            <w:tcW w:type="dxa" w:w="3216"/>
            <w:shd w:val="clear" w:fill="EEF2F8"/>
          </w:tcPr>
          <w:p>
            <w:pPr>
              <w:jc w:val="center"/>
            </w:pPr>
            <w:r/>
            <w:r>
              <w:rPr>
                <w:sz w:val="18"/>
              </w:rPr>
              <w:t>keep only history after structural events (mergers/demergers; e.g. ADANIENT, IDEA)</w:t>
            </w:r>
          </w:p>
        </w:tc>
      </w:tr>
      <w:tr>
        <w:tc>
          <w:tcPr>
            <w:tcW w:type="dxa" w:w="3216"/>
          </w:tcPr>
          <w:p>
            <w:pPr>
              <w:jc w:val="left"/>
            </w:pPr>
            <w:r/>
            <w:r>
              <w:rPr>
                <w:sz w:val="18"/>
              </w:rPr>
              <w:t>5</w:t>
            </w:r>
          </w:p>
        </w:tc>
        <w:tc>
          <w:tcPr>
            <w:tcW w:type="dxa" w:w="3216"/>
          </w:tcPr>
          <w:p>
            <w:pPr>
              <w:jc w:val="center"/>
            </w:pPr>
            <w:r/>
            <w:r>
              <w:rPr>
                <w:sz w:val="18"/>
              </w:rPr>
              <w:t>Liquidity floor</w:t>
            </w:r>
          </w:p>
        </w:tc>
        <w:tc>
          <w:tcPr>
            <w:tcW w:type="dxa" w:w="3216"/>
          </w:tcPr>
          <w:p>
            <w:pPr>
              <w:jc w:val="center"/>
            </w:pPr>
            <w:r/>
            <w:r>
              <w:rPr>
                <w:sz w:val="18"/>
              </w:rPr>
              <w:t>drop bars with 60-day rolling-median ADV &lt; ₹10M (close×volume)</w:t>
            </w:r>
          </w:p>
        </w:tc>
      </w:tr>
      <w:tr>
        <w:tc>
          <w:tcPr>
            <w:tcW w:type="dxa" w:w="3216"/>
            <w:shd w:val="clear" w:fill="EEF2F8"/>
          </w:tcPr>
          <w:p>
            <w:pPr>
              <w:jc w:val="left"/>
            </w:pPr>
            <w:r/>
            <w:r>
              <w:rPr>
                <w:sz w:val="18"/>
              </w:rPr>
              <w:t>6</w:t>
            </w:r>
          </w:p>
        </w:tc>
        <w:tc>
          <w:tcPr>
            <w:tcW w:type="dxa" w:w="3216"/>
            <w:shd w:val="clear" w:fill="EEF2F8"/>
          </w:tcPr>
          <w:p>
            <w:pPr>
              <w:jc w:val="center"/>
            </w:pPr>
            <w:r/>
            <w:r>
              <w:rPr>
                <w:sz w:val="18"/>
              </w:rPr>
              <w:t>Minimum-history filter</w:t>
            </w:r>
          </w:p>
        </w:tc>
        <w:tc>
          <w:tcPr>
            <w:tcW w:type="dxa" w:w="3216"/>
            <w:shd w:val="clear" w:fill="EEF2F8"/>
          </w:tcPr>
          <w:p>
            <w:pPr>
              <w:jc w:val="center"/>
            </w:pPr>
            <w:r/>
            <w:r>
              <w:rPr>
                <w:sz w:val="18"/>
              </w:rPr>
              <w:t>drop symbols with &lt; 756 cleaned rows (~3 trading years)</w:t>
            </w:r>
          </w:p>
        </w:tc>
      </w:tr>
      <w:tr>
        <w:tc>
          <w:tcPr>
            <w:tcW w:type="dxa" w:w="3216"/>
          </w:tcPr>
          <w:p>
            <w:pPr>
              <w:jc w:val="left"/>
            </w:pPr>
            <w:r/>
            <w:r>
              <w:rPr>
                <w:sz w:val="18"/>
              </w:rPr>
              <w:t>7</w:t>
            </w:r>
          </w:p>
        </w:tc>
        <w:tc>
          <w:tcPr>
            <w:tcW w:type="dxa" w:w="3216"/>
          </w:tcPr>
          <w:p>
            <w:pPr>
              <w:jc w:val="center"/>
            </w:pPr>
            <w:r/>
            <w:r>
              <w:rPr>
                <w:sz w:val="18"/>
              </w:rPr>
              <w:t>Contiguity filter</w:t>
            </w:r>
          </w:p>
        </w:tc>
        <w:tc>
          <w:tcPr>
            <w:tcW w:type="dxa" w:w="3216"/>
          </w:tcPr>
          <w:p>
            <w:pPr>
              <w:jc w:val="center"/>
            </w:pPr>
            <w:r/>
            <w:r>
              <w:rPr>
                <w:sz w:val="18"/>
              </w:rPr>
              <w:t>keep only the longest contiguous segment (gaps &gt; 10 calendar days split a symbol)</w:t>
            </w:r>
          </w:p>
        </w:tc>
      </w:tr>
    </w:tbl>
    <w:p>
      <w:pPr>
        <w:spacing w:after="120"/>
      </w:pPr>
    </w:p>
    <w:p>
      <w:pPr>
        <w:spacing w:after="120"/>
      </w:pPr>
      <w:r>
        <w:rPr>
          <w:b/>
          <w:i w:val="0"/>
          <w:color w:val="2E5A88"/>
          <w:sz w:val="21"/>
        </w:rPr>
        <w:t xml:space="preserve">Symbol funnel:  </w:t>
      </w:r>
      <w:r>
        <w:rPr>
          <w:b w:val="0"/>
          <w:i w:val="0"/>
          <w:sz w:val="21"/>
        </w:rPr>
        <w:t xml:space="preserve">492 raw symbols → 342 survive the cascade (Rule 6/7 gating) → 341 trading universe after one share-class duplicate is dropped at backtest time. </w:t>
      </w:r>
      <w:r>
        <w:rPr>
          <w:b w:val="0"/>
          <w:i/>
          <w:color w:val="555555"/>
          <w:sz w:val="21"/>
        </w:rPr>
        <w:t>[Inter-doc note: the clean log records 342 post-cascade; the backtest loads 341 — the difference is a single share-class de-duplication, not a data loss.]</w:t>
      </w:r>
    </w:p>
    <w:p>
      <w:pPr>
        <w:spacing w:after="60"/>
      </w:pPr>
      <w:r>
        <w:rPr>
          <w:b/>
          <w:color w:val="2E5A88"/>
          <w:sz w:val="18"/>
        </w:rPr>
        <w:t xml:space="preserve">Table 2. </w:t>
      </w:r>
      <w:r>
        <w:rPr>
          <w:i/>
          <w:color w:val="555555"/>
          <w:sz w:val="18"/>
        </w:rPr>
        <w:t>Dividend-flavor diagnostic (reports/dividend_flavor_diagnosis.csv). The low coefficient of variation against raw close vs the larger CV against a total-return adjusted close indicates split-only adjustment — dividends are not back-adjusted in the source.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255"/>
          </w:tcPr>
          <w:p>
            <w:pPr>
              <w:jc w:val="left"/>
            </w:pPr>
            <w:r/>
            <w:r>
              <w:rPr>
                <w:b/>
                <w:color w:val="FFFFFF"/>
                <w:sz w:val="18"/>
              </w:rPr>
              <w:t>symbol</w:t>
            </w:r>
          </w:p>
        </w:tc>
        <w:tc>
          <w:tcPr>
            <w:tcW w:type="dxa" w:w="1608"/>
            <w:shd w:val="clear" w:fill="1F3255"/>
          </w:tcPr>
          <w:p>
            <w:pPr>
              <w:jc w:val="center"/>
            </w:pPr>
            <w:r/>
            <w:r>
              <w:rPr>
                <w:b/>
                <w:color w:val="FFFFFF"/>
                <w:sz w:val="18"/>
              </w:rPr>
              <w:t>n overlap</w:t>
            </w:r>
          </w:p>
        </w:tc>
        <w:tc>
          <w:tcPr>
            <w:tcW w:type="dxa" w:w="1608"/>
            <w:shd w:val="clear" w:fill="1F3255"/>
          </w:tcPr>
          <w:p>
            <w:pPr>
              <w:jc w:val="center"/>
            </w:pPr>
            <w:r/>
            <w:r>
              <w:rPr>
                <w:b/>
                <w:color w:val="FFFFFF"/>
                <w:sz w:val="18"/>
              </w:rPr>
              <w:t>cv vs close</w:t>
            </w:r>
          </w:p>
        </w:tc>
        <w:tc>
          <w:tcPr>
            <w:tcW w:type="dxa" w:w="1608"/>
            <w:shd w:val="clear" w:fill="1F3255"/>
          </w:tcPr>
          <w:p>
            <w:pPr>
              <w:jc w:val="center"/>
            </w:pPr>
            <w:r/>
            <w:r>
              <w:rPr>
                <w:b/>
                <w:color w:val="FFFFFF"/>
                <w:sz w:val="18"/>
              </w:rPr>
              <w:t>cv vs adj_close</w:t>
            </w:r>
          </w:p>
        </w:tc>
        <w:tc>
          <w:tcPr>
            <w:tcW w:type="dxa" w:w="1608"/>
            <w:shd w:val="clear" w:fill="1F3255"/>
          </w:tcPr>
          <w:p>
            <w:pPr>
              <w:jc w:val="center"/>
            </w:pPr>
            <w:r/>
            <w:r>
              <w:rPr>
                <w:b/>
                <w:color w:val="FFFFFF"/>
                <w:sz w:val="18"/>
              </w:rPr>
              <w:t>verdict</w:t>
            </w:r>
          </w:p>
        </w:tc>
        <w:tc>
          <w:tcPr>
            <w:tcW w:type="dxa" w:w="1608"/>
            <w:shd w:val="clear" w:fill="1F3255"/>
          </w:tcPr>
          <w:p>
            <w:pPr>
              <w:jc w:val="center"/>
            </w:pPr>
            <w:r/>
            <w:r>
              <w:rPr>
                <w:b/>
                <w:color w:val="FFFFFF"/>
                <w:sz w:val="18"/>
              </w:rPr>
              <w:t>confidence</w:t>
            </w:r>
          </w:p>
        </w:tc>
      </w:tr>
      <w:tr>
        <w:tc>
          <w:tcPr>
            <w:tcW w:type="dxa" w:w="1608"/>
          </w:tcPr>
          <w:p>
            <w:pPr>
              <w:jc w:val="left"/>
            </w:pPr>
            <w:r/>
            <w:r>
              <w:rPr>
                <w:sz w:val="18"/>
              </w:rPr>
              <w:t>ITC</w:t>
            </w:r>
          </w:p>
        </w:tc>
        <w:tc>
          <w:tcPr>
            <w:tcW w:type="dxa" w:w="1608"/>
          </w:tcPr>
          <w:p>
            <w:pPr>
              <w:jc w:val="center"/>
            </w:pPr>
            <w:r/>
            <w:r>
              <w:rPr>
                <w:sz w:val="18"/>
              </w:rPr>
              <w:t>4538</w:t>
            </w:r>
          </w:p>
        </w:tc>
        <w:tc>
          <w:tcPr>
            <w:tcW w:type="dxa" w:w="1608"/>
          </w:tcPr>
          <w:p>
            <w:pPr>
              <w:jc w:val="center"/>
            </w:pPr>
            <w:r/>
            <w:r>
              <w:rPr>
                <w:sz w:val="18"/>
              </w:rPr>
              <w:t>0.003</w:t>
            </w:r>
          </w:p>
        </w:tc>
        <w:tc>
          <w:tcPr>
            <w:tcW w:type="dxa" w:w="1608"/>
          </w:tcPr>
          <w:p>
            <w:pPr>
              <w:jc w:val="center"/>
            </w:pPr>
            <w:r/>
            <w:r>
              <w:rPr>
                <w:sz w:val="18"/>
              </w:rPr>
              <w:t>0.115</w:t>
            </w:r>
          </w:p>
        </w:tc>
        <w:tc>
          <w:tcPr>
            <w:tcW w:type="dxa" w:w="1608"/>
          </w:tcPr>
          <w:p>
            <w:pPr>
              <w:jc w:val="center"/>
            </w:pPr>
            <w:r/>
            <w:r>
              <w:rPr>
                <w:sz w:val="18"/>
              </w:rPr>
              <w:t>split_only</w:t>
            </w:r>
          </w:p>
        </w:tc>
        <w:tc>
          <w:tcPr>
            <w:tcW w:type="dxa" w:w="1608"/>
          </w:tcPr>
          <w:p>
            <w:pPr>
              <w:jc w:val="center"/>
            </w:pPr>
            <w:r/>
            <w:r>
              <w:rPr>
                <w:sz w:val="18"/>
              </w:rPr>
              <w:t>high</w:t>
            </w:r>
          </w:p>
        </w:tc>
      </w:tr>
      <w:tr>
        <w:tc>
          <w:tcPr>
            <w:tcW w:type="dxa" w:w="1608"/>
            <w:shd w:val="clear" w:fill="EEF2F8"/>
          </w:tcPr>
          <w:p>
            <w:pPr>
              <w:jc w:val="left"/>
            </w:pPr>
            <w:r/>
            <w:r>
              <w:rPr>
                <w:sz w:val="18"/>
              </w:rPr>
              <w:t>COALINDIA</w:t>
            </w:r>
          </w:p>
        </w:tc>
        <w:tc>
          <w:tcPr>
            <w:tcW w:type="dxa" w:w="1608"/>
            <w:shd w:val="clear" w:fill="EEF2F8"/>
          </w:tcPr>
          <w:p>
            <w:pPr>
              <w:jc w:val="center"/>
            </w:pPr>
            <w:r/>
            <w:r>
              <w:rPr>
                <w:sz w:val="18"/>
              </w:rPr>
              <w:t>2617</w:t>
            </w:r>
          </w:p>
        </w:tc>
        <w:tc>
          <w:tcPr>
            <w:tcW w:type="dxa" w:w="1608"/>
            <w:shd w:val="clear" w:fill="EEF2F8"/>
          </w:tcPr>
          <w:p>
            <w:pPr>
              <w:jc w:val="center"/>
            </w:pPr>
            <w:r/>
            <w:r>
              <w:rPr>
                <w:sz w:val="18"/>
              </w:rPr>
              <w:t>0.000</w:t>
            </w:r>
          </w:p>
        </w:tc>
        <w:tc>
          <w:tcPr>
            <w:tcW w:type="dxa" w:w="1608"/>
            <w:shd w:val="clear" w:fill="EEF2F8"/>
          </w:tcPr>
          <w:p>
            <w:pPr>
              <w:jc w:val="center"/>
            </w:pPr>
            <w:r/>
            <w:r>
              <w:rPr>
                <w:sz w:val="18"/>
              </w:rPr>
              <w:t>0.203</w:t>
            </w:r>
          </w:p>
        </w:tc>
        <w:tc>
          <w:tcPr>
            <w:tcW w:type="dxa" w:w="1608"/>
            <w:shd w:val="clear" w:fill="EEF2F8"/>
          </w:tcPr>
          <w:p>
            <w:pPr>
              <w:jc w:val="center"/>
            </w:pPr>
            <w:r/>
            <w:r>
              <w:rPr>
                <w:sz w:val="18"/>
              </w:rPr>
              <w:t>split_only</w:t>
            </w:r>
          </w:p>
        </w:tc>
        <w:tc>
          <w:tcPr>
            <w:tcW w:type="dxa" w:w="1608"/>
            <w:shd w:val="clear" w:fill="EEF2F8"/>
          </w:tcPr>
          <w:p>
            <w:pPr>
              <w:jc w:val="center"/>
            </w:pPr>
            <w:r/>
            <w:r>
              <w:rPr>
                <w:sz w:val="18"/>
              </w:rPr>
              <w:t>high</w:t>
            </w:r>
          </w:p>
        </w:tc>
      </w:tr>
      <w:tr>
        <w:tc>
          <w:tcPr>
            <w:tcW w:type="dxa" w:w="1608"/>
          </w:tcPr>
          <w:p>
            <w:pPr>
              <w:jc w:val="left"/>
            </w:pPr>
            <w:r/>
            <w:r>
              <w:rPr>
                <w:sz w:val="18"/>
              </w:rPr>
              <w:t>HINDPETRO</w:t>
            </w:r>
          </w:p>
        </w:tc>
        <w:tc>
          <w:tcPr>
            <w:tcW w:type="dxa" w:w="1608"/>
          </w:tcPr>
          <w:p>
            <w:pPr>
              <w:jc w:val="center"/>
            </w:pPr>
            <w:r/>
            <w:r>
              <w:rPr>
                <w:sz w:val="18"/>
              </w:rPr>
              <w:t>4520</w:t>
            </w:r>
          </w:p>
        </w:tc>
        <w:tc>
          <w:tcPr>
            <w:tcW w:type="dxa" w:w="1608"/>
          </w:tcPr>
          <w:p>
            <w:pPr>
              <w:jc w:val="center"/>
            </w:pPr>
            <w:r/>
            <w:r>
              <w:rPr>
                <w:sz w:val="18"/>
              </w:rPr>
              <w:t>0.000</w:t>
            </w:r>
          </w:p>
        </w:tc>
        <w:tc>
          <w:tcPr>
            <w:tcW w:type="dxa" w:w="1608"/>
          </w:tcPr>
          <w:p>
            <w:pPr>
              <w:jc w:val="center"/>
            </w:pPr>
            <w:r/>
            <w:r>
              <w:rPr>
                <w:sz w:val="18"/>
              </w:rPr>
              <w:t>0.196</w:t>
            </w:r>
          </w:p>
        </w:tc>
        <w:tc>
          <w:tcPr>
            <w:tcW w:type="dxa" w:w="1608"/>
          </w:tcPr>
          <w:p>
            <w:pPr>
              <w:jc w:val="center"/>
            </w:pPr>
            <w:r/>
            <w:r>
              <w:rPr>
                <w:sz w:val="18"/>
              </w:rPr>
              <w:t>split_only</w:t>
            </w:r>
          </w:p>
        </w:tc>
        <w:tc>
          <w:tcPr>
            <w:tcW w:type="dxa" w:w="1608"/>
          </w:tcPr>
          <w:p>
            <w:pPr>
              <w:jc w:val="center"/>
            </w:pPr>
            <w:r/>
            <w:r>
              <w:rPr>
                <w:sz w:val="18"/>
              </w:rPr>
              <w:t>high</w:t>
            </w:r>
          </w:p>
        </w:tc>
      </w:tr>
      <w:tr>
        <w:tc>
          <w:tcPr>
            <w:tcW w:type="dxa" w:w="1608"/>
            <w:shd w:val="clear" w:fill="EEF2F8"/>
          </w:tcPr>
          <w:p>
            <w:pPr>
              <w:jc w:val="left"/>
            </w:pPr>
            <w:r/>
            <w:r>
              <w:rPr>
                <w:sz w:val="18"/>
              </w:rPr>
              <w:t>NTPC</w:t>
            </w:r>
          </w:p>
        </w:tc>
        <w:tc>
          <w:tcPr>
            <w:tcW w:type="dxa" w:w="1608"/>
            <w:shd w:val="clear" w:fill="EEF2F8"/>
          </w:tcPr>
          <w:p>
            <w:pPr>
              <w:jc w:val="center"/>
            </w:pPr>
            <w:r/>
            <w:r>
              <w:rPr>
                <w:sz w:val="18"/>
              </w:rPr>
              <w:t>4096</w:t>
            </w:r>
          </w:p>
        </w:tc>
        <w:tc>
          <w:tcPr>
            <w:tcW w:type="dxa" w:w="1608"/>
            <w:shd w:val="clear" w:fill="EEF2F8"/>
          </w:tcPr>
          <w:p>
            <w:pPr>
              <w:jc w:val="center"/>
            </w:pPr>
            <w:r/>
            <w:r>
              <w:rPr>
                <w:sz w:val="18"/>
              </w:rPr>
              <w:t>0.041</w:t>
            </w:r>
          </w:p>
        </w:tc>
        <w:tc>
          <w:tcPr>
            <w:tcW w:type="dxa" w:w="1608"/>
            <w:shd w:val="clear" w:fill="EEF2F8"/>
          </w:tcPr>
          <w:p>
            <w:pPr>
              <w:jc w:val="center"/>
            </w:pPr>
            <w:r/>
            <w:r>
              <w:rPr>
                <w:sz w:val="18"/>
              </w:rPr>
              <w:t>0.097</w:t>
            </w:r>
          </w:p>
        </w:tc>
        <w:tc>
          <w:tcPr>
            <w:tcW w:type="dxa" w:w="1608"/>
            <w:shd w:val="clear" w:fill="EEF2F8"/>
          </w:tcPr>
          <w:p>
            <w:pPr>
              <w:jc w:val="center"/>
            </w:pPr>
            <w:r/>
            <w:r>
              <w:rPr>
                <w:sz w:val="18"/>
              </w:rPr>
              <w:t>split_only</w:t>
            </w:r>
          </w:p>
        </w:tc>
        <w:tc>
          <w:tcPr>
            <w:tcW w:type="dxa" w:w="1608"/>
            <w:shd w:val="clear" w:fill="EEF2F8"/>
          </w:tcPr>
          <w:p>
            <w:pPr>
              <w:jc w:val="center"/>
            </w:pPr>
            <w:r/>
            <w:r>
              <w:rPr>
                <w:sz w:val="18"/>
              </w:rPr>
              <w:t>medium</w:t>
            </w:r>
          </w:p>
        </w:tc>
      </w:tr>
      <w:tr>
        <w:tc>
          <w:tcPr>
            <w:tcW w:type="dxa" w:w="1608"/>
          </w:tcPr>
          <w:p>
            <w:pPr>
              <w:jc w:val="left"/>
            </w:pPr>
            <w:r/>
            <w:r>
              <w:rPr>
                <w:sz w:val="18"/>
              </w:rPr>
              <w:t>POWERGRID</w:t>
            </w:r>
          </w:p>
        </w:tc>
        <w:tc>
          <w:tcPr>
            <w:tcW w:type="dxa" w:w="1608"/>
          </w:tcPr>
          <w:p>
            <w:pPr>
              <w:jc w:val="center"/>
            </w:pPr>
            <w:r/>
            <w:r>
              <w:rPr>
                <w:sz w:val="18"/>
              </w:rPr>
              <w:t>3373</w:t>
            </w:r>
          </w:p>
        </w:tc>
        <w:tc>
          <w:tcPr>
            <w:tcW w:type="dxa" w:w="1608"/>
          </w:tcPr>
          <w:p>
            <w:pPr>
              <w:jc w:val="center"/>
            </w:pPr>
            <w:r/>
            <w:r>
              <w:rPr>
                <w:sz w:val="18"/>
              </w:rPr>
              <w:t>0.000</w:t>
            </w:r>
          </w:p>
        </w:tc>
        <w:tc>
          <w:tcPr>
            <w:tcW w:type="dxa" w:w="1608"/>
          </w:tcPr>
          <w:p>
            <w:pPr>
              <w:jc w:val="center"/>
            </w:pPr>
            <w:r/>
            <w:r>
              <w:rPr>
                <w:sz w:val="18"/>
              </w:rPr>
              <w:t>0.089</w:t>
            </w:r>
          </w:p>
        </w:tc>
        <w:tc>
          <w:tcPr>
            <w:tcW w:type="dxa" w:w="1608"/>
          </w:tcPr>
          <w:p>
            <w:pPr>
              <w:jc w:val="center"/>
            </w:pPr>
            <w:r/>
            <w:r>
              <w:rPr>
                <w:sz w:val="18"/>
              </w:rPr>
              <w:t>split_only</w:t>
            </w:r>
          </w:p>
        </w:tc>
        <w:tc>
          <w:tcPr>
            <w:tcW w:type="dxa" w:w="1608"/>
          </w:tcPr>
          <w:p>
            <w:pPr>
              <w:jc w:val="center"/>
            </w:pPr>
            <w:r/>
            <w:r>
              <w:rPr>
                <w:sz w:val="18"/>
              </w:rPr>
              <w:t>high</w:t>
            </w:r>
          </w:p>
        </w:tc>
      </w:tr>
    </w:tbl>
    <w:p>
      <w:pPr>
        <w:spacing w:after="120"/>
      </w:pPr>
    </w:p>
    <w:p>
      <w:pPr>
        <w:spacing w:after="120"/>
      </w:pPr>
      <w:r>
        <w:rPr>
          <w:b w:val="0"/>
          <w:i w:val="0"/>
          <w:sz w:val="21"/>
        </w:rPr>
        <w:t>Corporate actions are repaired conservatively: after a diagnostic pass over yfinance split/dividend coverage (reports/corporate_actions_audit.csv, corporate_actions_coverage.csv), the pipeline drops ratio-snap ADJUST in favour of routing every flagged action to TRIM (resample to the post-event spine) — a deliberate choice to avoid introducing synthetic back-adjustment error (reports/ca_repair_classification.csv).</w:t>
      </w:r>
    </w:p>
    <w:p>
      <w:pPr>
        <w:jc w:val="center"/>
      </w:pPr>
    </w:p>
    <w:p>
      <w:pPr>
        <w:jc w:val="center"/>
      </w:pPr>
      <w:r>
        <w:drawing>
          <wp:inline xmlns:a="http://schemas.openxmlformats.org/drawingml/2006/main" xmlns:pic="http://schemas.openxmlformats.org/drawingml/2006/picture">
            <wp:extent cx="5303520" cy="3111534"/>
            <wp:docPr id="4" name="Picture 4"/>
            <wp:cNvGraphicFramePr>
              <a:graphicFrameLocks noChangeAspect="1"/>
            </wp:cNvGraphicFramePr>
            <a:graphic>
              <a:graphicData uri="http://schemas.openxmlformats.org/drawingml/2006/picture">
                <pic:pic>
                  <pic:nvPicPr>
                    <pic:cNvPr id="0" name="01_symbols_per_sector.png"/>
                    <pic:cNvPicPr/>
                  </pic:nvPicPr>
                  <pic:blipFill>
                    <a:blip r:embed="rId12"/>
                    <a:stretch>
                      <a:fillRect/>
                    </a:stretch>
                  </pic:blipFill>
                  <pic:spPr>
                    <a:xfrm>
                      <a:off x="0" y="0"/>
                      <a:ext cx="5303520" cy="3111534"/>
                    </a:xfrm>
                    <a:prstGeom prst="rect"/>
                  </pic:spPr>
                </pic:pic>
              </a:graphicData>
            </a:graphic>
          </wp:inline>
        </w:drawing>
      </w:r>
    </w:p>
    <w:p>
      <w:pPr>
        <w:spacing w:after="200"/>
        <w:jc w:val="center"/>
      </w:pPr>
      <w:r>
        <w:rPr>
          <w:b/>
          <w:color w:val="2E5A88"/>
          <w:sz w:val="18"/>
        </w:rPr>
        <w:t xml:space="preserve">Figure 4. </w:t>
      </w:r>
      <w:r>
        <w:rPr>
          <w:i/>
          <w:color w:val="555555"/>
          <w:sz w:val="18"/>
        </w:rPr>
        <w:t>Cleaned NSE universe by sector (scripts/06 universe EDA). The surviving universe is concentrated in financials and materials — the sectors that later dominate the cointegrated-pair pool (banks, cement, oil &amp; gas).</w:t>
      </w:r>
    </w:p>
    <w:p>
      <w:pPr>
        <w:pStyle w:val="Heading2"/>
      </w:pPr>
      <w:r>
        <w:rPr>
          <w:color w:val="1F3255"/>
        </w:rPr>
        <w:t>3.2  Crypto universe</w:t>
      </w:r>
    </w:p>
    <w:p>
      <w:pPr>
        <w:spacing w:after="120"/>
      </w:pPr>
      <w:r>
        <w:rPr>
          <w:b w:val="0"/>
          <w:i w:val="0"/>
          <w:sz w:val="21"/>
        </w:rPr>
        <w:t>The out-of-sample venue is Binance 1-minute klines (12-column headerless; epoch timestamps in UTC, with a mixed ms/µs convention after Binance's 2025 switch that the loader normalises by magnitude). 30 USDT pairs span 2017-08 → 2026-04. A liquidity gate (median daily quote-volume ≥ $10M, labelled default) keeps 22/30 symbols; at $50M only 7 survive, too thin for breadth. The NSE seven-rule cascade does not transfer (no corporate actions; 24/7 sessions) — only minimal cleaning applies (dedup open_time, drop non-positive OHLC and zero-volume bars). A funding-rate series is absent from the archive, so funding cost is carried as a [TODO] and every multi-day-carry (Regime B) number is marked funding-unpriced.</w:t>
      </w:r>
    </w:p>
    <w:p>
      <w:pPr>
        <w:pStyle w:val="Heading1"/>
      </w:pPr>
      <w:r>
        <w:rPr>
          <w:color w:val="1F3255"/>
        </w:rPr>
        <w:t>4.  Methodology</w:t>
      </w:r>
    </w:p>
    <w:p>
      <w:pPr>
        <w:spacing w:after="120"/>
      </w:pPr>
      <w:r>
        <w:rPr>
          <w:b w:val="0"/>
          <w:i/>
          <w:sz w:val="21"/>
        </w:rPr>
        <w:t>Each technique is given a model specification, the reason it was chosen, how it is fit TRAIN-only, how it is validated, and a pointer to the result. A single discipline runs through all of it: nothing is fit, tuned, or selected on test data; every hyperparameter is chosen on a training window and frozen before the out-of-sample slice is touched.</w:t>
      </w:r>
    </w:p>
    <w:p>
      <w:pPr>
        <w:pStyle w:val="Heading2"/>
      </w:pPr>
      <w:r>
        <w:rPr>
          <w:color w:val="1F3255"/>
        </w:rPr>
        <w:t>4.1  Pair selection — Engle–Granger + BH-FDR (Johansen comparator)</w:t>
      </w:r>
    </w:p>
    <w:p>
      <w:pPr>
        <w:spacing w:after="120"/>
      </w:pPr>
      <w:r>
        <w:rPr>
          <w:b w:val="0"/>
          <w:i w:val="0"/>
          <w:sz w:val="21"/>
        </w:rPr>
        <w:t>Candidate pairs are first correlation-screened, then tested for cointegration by the Engle–Granger two-step: regress log-prices to obtain a static hedge ratio β and residual, then ADF-test the residual for stationarity. Because hundreds of pairs are tested per fold, raw ADF p-values are corrected for multiple comparisons by the Benjamini–Hochberg false-discovery-rate procedure (α = 0.05) — this is the single most important guard against selecting spuriously-cointegrated pairs.</w:t>
      </w:r>
    </w:p>
    <w:p>
      <w:pPr>
        <w:spacing w:before="80" w:after="80"/>
        <w:jc w:val="center"/>
      </w:pPr>
      <w:r>
        <w:rPr>
          <w:rFonts w:ascii="Consolas" w:hAnsi="Consolas"/>
          <w:sz w:val="20"/>
        </w:rPr>
        <w:t>log Y_t = α + β · log X_t + r_t ;   ADF(r_t) → p ;   BH-FDR over {p_i}</w:t>
      </w:r>
      <w:r>
        <w:rPr>
          <w:rFonts w:ascii="Consolas" w:hAnsi="Consolas"/>
          <w:color w:val="555555"/>
          <w:sz w:val="17"/>
        </w:rPr>
        <w:t xml:space="preserve">    (Engle–Granger + BH)</w:t>
      </w:r>
    </w:p>
    <w:p>
      <w:pPr>
        <w:spacing w:after="120"/>
      </w:pPr>
      <w:r>
        <w:rPr>
          <w:b w:val="0"/>
          <w:i w:val="0"/>
          <w:sz w:val="21"/>
        </w:rPr>
        <w:t>Johansen's trace test is implemented as an order-independent comparator (it does not privilege one leg as the dependent variable). On a common 234-pair candidate set it selects 41 pairs vs Engle–Granger+FDR's 13 — but Section 6 shows that gap is almost entirely the absence of a multiple-testing correction on the Johansen path, not a structurally different selection. The two universes are therefore reported separately and never merged into a matched performance table.</w:t>
      </w:r>
    </w:p>
    <w:p>
      <w:pPr>
        <w:pStyle w:val="Heading2"/>
      </w:pPr>
      <w:r>
        <w:rPr>
          <w:color w:val="1F3255"/>
        </w:rPr>
        <w:t>4.2  Spread, hedge ratio, and the (1+β) cost convention</w:t>
      </w:r>
    </w:p>
    <w:p>
      <w:pPr>
        <w:spacing w:after="120"/>
      </w:pPr>
      <w:r>
        <w:rPr>
          <w:b w:val="0"/>
          <w:i w:val="0"/>
          <w:sz w:val="21"/>
        </w:rPr>
        <w:t>The traded spread is s_t = log Y_t − β·log X_t − α with β frozen from the training OLS fit (direction chosen so β &gt; 0). A one-unit spread position is long 1 notional unit of Y and short β notional units of X, so the round-trip transaction cost in cost-log space is proportional to the engaged notional (1+β), not to a flat 2 legs:</w:t>
      </w:r>
    </w:p>
    <w:p>
      <w:pPr>
        <w:spacing w:before="80" w:after="80"/>
        <w:jc w:val="center"/>
      </w:pPr>
      <w:r>
        <w:rPr>
          <w:rFonts w:ascii="Consolas" w:hAnsi="Consolas"/>
          <w:sz w:val="20"/>
        </w:rPr>
        <w:t>cost_per_pair_round_trip = (1 + β) · cost_per_leg</w:t>
      </w:r>
      <w:r>
        <w:rPr>
          <w:rFonts w:ascii="Consolas" w:hAnsi="Consolas"/>
          <w:color w:val="555555"/>
          <w:sz w:val="17"/>
        </w:rPr>
        <w:t xml:space="preserve">    (β-aware billing)</w:t>
      </w:r>
    </w:p>
    <w:p>
      <w:pPr>
        <w:spacing w:after="120"/>
      </w:pPr>
      <w:r>
        <w:rPr>
          <w:b w:val="0"/>
          <w:i w:val="0"/>
          <w:sz w:val="21"/>
        </w:rPr>
        <w:t xml:space="preserve">This corrects a legacy equal-notional 2× convention. </w:t>
      </w:r>
      <w:r>
        <w:rPr>
          <w:b w:val="0"/>
          <w:i w:val="0"/>
          <w:sz w:val="21"/>
        </w:rPr>
        <w:t xml:space="preserve">The bias ratio is (1+β)/2: high-β pairs were under-charged, low-β pairs over-charged. </w:t>
      </w:r>
      <w:r>
        <w:rPr>
          <w:b w:val="0"/>
          <w:i w:val="0"/>
          <w:sz w:val="21"/>
        </w:rPr>
        <w:t>Re-billing the entire pipeline under (1+β) moved the headline frozen-OU best cell by only −0.33 percentage points of annual return (decomposed exactly as billing −0.398 pp + threshold-refit +0.071 pp = −0.326 pp; Section 5.4), and moved the daily Phase-2A net Sharpe by +0.006 — negligible — but it removed a spurious rolling-z-beats-OU inversion at the lowest cost and is the single billing convention used everywhere thereafter.</w:t>
      </w:r>
    </w:p>
    <w:p>
      <w:pPr>
        <w:pStyle w:val="Heading2"/>
      </w:pPr>
      <w:r>
        <w:rPr>
          <w:color w:val="1F3255"/>
        </w:rPr>
        <w:t>4.3  OU process and Bertram cost-aware thresholds</w:t>
      </w:r>
    </w:p>
    <w:p>
      <w:pPr>
        <w:spacing w:after="120"/>
      </w:pPr>
      <w:r>
        <w:rPr>
          <w:b w:val="0"/>
          <w:i w:val="0"/>
          <w:sz w:val="21"/>
        </w:rPr>
        <w:t>At intraday frequency the spread is modelled as an Ornstein–Uhlenbeck process and fit by its exact AR(1) discretisation on the training window:</w:t>
      </w:r>
    </w:p>
    <w:p>
      <w:pPr>
        <w:spacing w:before="80" w:after="80"/>
        <w:jc w:val="center"/>
      </w:pPr>
      <w:r>
        <w:rPr>
          <w:rFonts w:ascii="Consolas" w:hAnsi="Consolas"/>
          <w:sz w:val="20"/>
        </w:rPr>
        <w:t>dX_t = κ(μ − X_t) dt + σ dW_t      ⇔      X_{t+1} = c + φ·X_t + ε_t</w:t>
      </w:r>
    </w:p>
    <w:p>
      <w:pPr>
        <w:spacing w:before="80" w:after="80"/>
        <w:jc w:val="center"/>
      </w:pPr>
      <w:r>
        <w:rPr>
          <w:rFonts w:ascii="Consolas" w:hAnsi="Consolas"/>
          <w:sz w:val="20"/>
        </w:rPr>
        <w:t>κ = −ln(φ)/Δt ,   μ = c/(1−φ) ,   σ_eq² = σ²/(2κ) ,   half-life = ln(2)/κ</w:t>
      </w:r>
    </w:p>
    <w:p>
      <w:pPr>
        <w:spacing w:after="120"/>
      </w:pPr>
      <w:r>
        <w:rPr>
          <w:b w:val="0"/>
          <w:i w:val="0"/>
          <w:sz w:val="21"/>
        </w:rPr>
        <w:t>Entry/exit thresholds are not hand-set: they solve Bertram's (2010) closed-form optimum, which maximises expected return per unit time net of round-trip cost c, trading at ±a* in equilibrium-σ units and exiting at the mean. The transcription was Monte-Carlo validated against a first-passage simulation (analytic crossing probability 1.140×10⁻³ vs simulated 1.132×10⁻³). The threshold is re-solved per cost level, so a* widens monotonically with cost (e.g. 0.41 → 0.54 σ-units from 1 → 8 bps on the KOTAK fold) — the engine self-amortises cost by trading less, which is the structural reason it is far more cost-resilient than a fixed-band rolling-z rule.</w:t>
      </w:r>
    </w:p>
    <w:p>
      <w:pPr>
        <w:spacing w:after="120"/>
      </w:pPr>
      <w:r>
        <w:rPr>
          <w:b w:val="0"/>
          <w:i w:val="0"/>
          <w:sz w:val="21"/>
        </w:rPr>
        <w:t>A half-life band filter separates two trade regimes: Regime A (intraday square-off) admits half-lives in [30, 120] minutes; Regime B (multi-day carry) admits [120, 1875] minutes (1875 min = 5 sessions). A time-of-day volatility normalisation removes the intraday U-shape before z-scoring. Critically, 0 of 18 valid OU fits fall in the Regime-A band at any frequency — the NSE pairs mean-revert on a multi-session timescale, which makes intraday square-off structurally infeasible (Section 6.3).</w:t>
      </w:r>
    </w:p>
    <w:p>
      <w:pPr>
        <w:pStyle w:val="Heading2"/>
      </w:pPr>
      <w:r>
        <w:rPr>
          <w:color w:val="1F3255"/>
        </w:rPr>
        <w:t>4.4  Adaptive equilibrium — the μ-only Kalman filter</w:t>
      </w:r>
    </w:p>
    <w:p>
      <w:pPr>
        <w:spacing w:after="120"/>
      </w:pPr>
      <w:r>
        <w:rPr>
          <w:b w:val="0"/>
          <w:i w:val="0"/>
          <w:sz w:val="21"/>
        </w:rPr>
        <w:t>The central methodological contribution replaces the frozen equilibrium μ with a per-session causal local-level (random-walk-plus-noise) filter, so the spread's reversion target tracks slowly rather than being pinned at the in-sample estimate:</w:t>
      </w:r>
    </w:p>
    <w:p>
      <w:pPr>
        <w:spacing w:before="80" w:after="80"/>
        <w:jc w:val="center"/>
      </w:pPr>
      <w:r>
        <w:rPr>
          <w:rFonts w:ascii="Consolas" w:hAnsi="Consolas"/>
          <w:sz w:val="20"/>
        </w:rPr>
        <w:t>state:   μ_t = μ_{t−1} + w_t        observation:   y_t = μ_t + e_t</w:t>
      </w:r>
    </w:p>
    <w:p>
      <w:pPr>
        <w:spacing w:before="80" w:after="80"/>
        <w:jc w:val="center"/>
      </w:pPr>
      <w:r>
        <w:rPr>
          <w:rFonts w:ascii="Consolas" w:hAnsi="Consolas"/>
          <w:sz w:val="20"/>
        </w:rPr>
        <w:t>constant gain (West–Harrison discount):   K = 1 − 2^(−1/H)</w:t>
      </w:r>
      <w:r>
        <w:rPr>
          <w:rFonts w:ascii="Consolas" w:hAnsi="Consolas"/>
          <w:color w:val="555555"/>
          <w:sz w:val="17"/>
        </w:rPr>
        <w:t xml:space="preserve">    H = half-life in sessions</w:t>
      </w:r>
    </w:p>
    <w:p>
      <w:pPr>
        <w:spacing w:after="120"/>
      </w:pPr>
      <w:r>
        <w:rPr>
          <w:b w:val="0"/>
          <w:i w:val="0"/>
          <w:sz w:val="21"/>
        </w:rPr>
        <w:t>H is the discount horizon in sessions; H = ∞ gives K = 0 and recovers the frozen engine exactly (the frozen-control equivalence, unit-tested bit-for-bit). The filter updates μ at session close and applies it from the next session open — strictly causal, no intra-session look-ahead. H is selected TRAIN-only from {∞, 20, 10, 5} by the Bertram net-return criterion on training residuals, subject to an absorption guard: the residual half-life under the candidate H must stay within [0.5×, 1.5×] of the frozen-μ half-life, otherwise the configuration is inadmissible. This guard is what prevents the filter from over-tracking and absorbing genuine signal into μ.</w:t>
      </w:r>
    </w:p>
    <w:p>
      <w:pPr>
        <w:pStyle w:val="Heading2"/>
      </w:pPr>
      <w:r>
        <w:rPr>
          <w:color w:val="1F3255"/>
        </w:rPr>
        <w:t>4.5  β-escalation and its identification failure</w:t>
      </w:r>
    </w:p>
    <w:p>
      <w:pPr>
        <w:spacing w:after="120"/>
      </w:pPr>
      <w:r>
        <w:rPr>
          <w:b w:val="0"/>
          <w:i w:val="0"/>
          <w:sz w:val="21"/>
        </w:rPr>
        <w:t>The natural escalation is to also let the hedge ratio track. The joint (β, c) filter uses a returns-regression observation for β and a level observation for c = α + μ:</w:t>
      </w:r>
    </w:p>
    <w:p>
      <w:pPr>
        <w:spacing w:before="80" w:after="80"/>
        <w:jc w:val="center"/>
      </w:pPr>
      <w:r>
        <w:rPr>
          <w:rFonts w:ascii="Consolas" w:hAnsi="Consolas"/>
          <w:sz w:val="20"/>
        </w:rPr>
        <w:t>β̂_s = cov_s(Δx, Δy) / var_s(Δx) ,    ℓ̂_s = mean_s(y − β_s·x)</w:t>
      </w:r>
      <w:r>
        <w:rPr>
          <w:rFonts w:ascii="Consolas" w:hAnsi="Consolas"/>
          <w:color w:val="555555"/>
          <w:sz w:val="17"/>
        </w:rPr>
        <w:t xml:space="preserve">    per-session, diagonal gains</w:t>
      </w:r>
    </w:p>
    <w:p>
      <w:pPr>
        <w:spacing w:after="120"/>
      </w:pPr>
      <w:r>
        <w:rPr>
          <w:b w:val="0"/>
          <w:i w:val="0"/>
          <w:sz w:val="21"/>
        </w:rPr>
        <w:t>This is collapse-prone by construction: when the legs' intraday increments stop co-moving, cov(Δx,Δy) → 0 and β̂ → 0, evaporating the hedge. A β-stability guard requires β_s ∈ [0.25, 4]×β₀ over the training window. Section 6.6 shows every finite tracking horizon collapses β out of that band on all three diagnostic pair-folds — so train selection freezes β (H_β = ∞), at which point the joint filter is identically the μ-only filter. The escalation fails, and the failure — weak intraday identification of the hedge ratio — is itself a finding.</w:t>
      </w:r>
    </w:p>
    <w:p>
      <w:pPr>
        <w:pStyle w:val="Heading2"/>
      </w:pPr>
      <w:r>
        <w:rPr>
          <w:color w:val="1F3255"/>
        </w:rPr>
        <w:t>4.6  Cost model and backtest protocol</w:t>
      </w:r>
    </w:p>
    <w:p>
      <w:pPr>
        <w:pStyle w:val="ListBullet"/>
      </w:pPr>
      <w:r>
        <w:rPr>
          <w:b/>
          <w:sz w:val="21"/>
        </w:rPr>
        <w:t xml:space="preserve">Cost:  </w:t>
      </w:r>
      <w:r>
        <w:rPr>
          <w:sz w:val="21"/>
        </w:rPr>
        <w:t>an NSE CostBreakdown (STT 2.5 + brokerage 0.5 + exchange/regulatory 1.5 = 4.5 bps fixed per leg) plus a quoted-spread sweep {1,3,5,8} bps, all billed (1+β). Crypto cost = taker fee (5 bps/side default) + spread sweep, also (1+β); funding is [TODO] (no series).</w:t>
      </w:r>
    </w:p>
    <w:p>
      <w:pPr>
        <w:pStyle w:val="ListBullet"/>
      </w:pPr>
      <w:r>
        <w:rPr>
          <w:b/>
          <w:sz w:val="21"/>
        </w:rPr>
        <w:t xml:space="preserve">Walk-forward:  </w:t>
      </w:r>
      <w:r>
        <w:rPr>
          <w:sz w:val="21"/>
        </w:rPr>
        <w:t>annual walk-forward with [prior][train][test] windows rolled forward; every fit (cointegration, OU, OU-residual, Kalman H, Bertram a*) is performed on the training window of that fold only and frozen before the test slice. Regime A (intraday square-off) vs Regime B (multi-day carry); bar-frequency sweep {1,5,15} minutes.</w:t>
      </w:r>
    </w:p>
    <w:p>
      <w:pPr>
        <w:pStyle w:val="ListBullet"/>
      </w:pPr>
      <w:r>
        <w:rPr>
          <w:b/>
          <w:sz w:val="21"/>
        </w:rPr>
        <w:t xml:space="preserve">Reporting standard:  </w:t>
      </w:r>
      <w:r>
        <w:rPr>
          <w:sz w:val="21"/>
        </w:rPr>
        <w:t>every performance number is reported gross AND net; every equity curve carries a drawdown panel; exits are tagged with a fixed five-category vocabulary (mean_revert / z_stop / time_stop / eod_squareoff / fold_close).</w:t>
      </w:r>
    </w:p>
    <w:p>
      <w:pPr>
        <w:pStyle w:val="Heading2"/>
      </w:pPr>
      <w:r>
        <w:rPr>
          <w:color w:val="1F3255"/>
        </w:rPr>
        <w:t>4.7  Validation framework — Deflated Sharpe and PBO</w:t>
      </w:r>
    </w:p>
    <w:p>
      <w:pPr>
        <w:spacing w:after="120"/>
      </w:pPr>
      <w:r>
        <w:rPr>
          <w:b w:val="0"/>
          <w:i w:val="0"/>
          <w:sz w:val="21"/>
        </w:rPr>
        <w:t>Because the development searched a grid of engines × frequencies × costs × regimes, the in-sample-best Sharpe is upward-biased by selection. Two complementary deflators are applied. The Deflated Sharpe Ratio (Bailey &amp; López de Prado, 2014) computes the probability that the observed Sharpe exceeds the expected maximum Sharpe achievable by N independent random trials, accounting for the return series' skew, kurtosis and length; the expected-maximum benchmark SR₀ grows with the honest trial count N (reconstructed from the search grids). The Probability of Backtest Overfitting (Bailey et al., 2017) uses Combinatorially-Symmetric Cross-Validation: split the return matrix into S blocks, and over all C(S, S/2) symmetric in-/out-of-sample partitions measure how often the in-sample-best configuration underperforms the out-of-sample median. The Bertram threshold transcription itself was validated by an independent Monte-Carlo first-passage check (Section 4.3).</w:t>
      </w:r>
    </w:p>
    <w:p>
      <w:pPr>
        <w:pStyle w:val="Heading1"/>
      </w:pPr>
      <w:r>
        <w:rPr>
          <w:color w:val="1F3255"/>
        </w:rPr>
        <w:t>5.  Results by Stage</w:t>
      </w:r>
    </w:p>
    <w:p>
      <w:pPr>
        <w:pStyle w:val="Heading2"/>
      </w:pPr>
      <w:r>
        <w:rPr>
          <w:color w:val="1F3255"/>
        </w:rPr>
        <w:t>5.1  Phase 2A — daily walk-forward baseline</w:t>
      </w:r>
    </w:p>
    <w:p>
      <w:pPr>
        <w:spacing w:after="120"/>
      </w:pPr>
      <w:r>
        <w:rPr>
          <w:b/>
          <w:i w:val="0"/>
          <w:sz w:val="21"/>
        </w:rPr>
        <w:t xml:space="preserve">On the daily NSE universe the strategy is net-profitable. </w:t>
      </w:r>
      <w:r>
        <w:rPr>
          <w:b w:val="0"/>
          <w:i w:val="0"/>
          <w:sz w:val="21"/>
        </w:rPr>
        <w:t xml:space="preserve">Across an 8-fold annual walk-forward (~7 out-of-sample years, 1764 daily observations) the portfolio returns 297.35% gross / 215.67% net, with a net Sharpe of 1.08 (gross 1.28) and a net maximum drawdown of -17.39%. </w:t>
      </w:r>
      <w:r>
        <w:rPr>
          <w:b w:val="0"/>
          <w:i w:val="0"/>
          <w:sz w:val="21"/>
        </w:rPr>
        <w:t>This is the broad-universe anchor against which the narrow intraday results must be read.</w:t>
      </w:r>
    </w:p>
    <w:p>
      <w:pPr>
        <w:spacing w:after="60"/>
      </w:pPr>
      <w:r>
        <w:rPr>
          <w:b/>
          <w:color w:val="2E5A88"/>
          <w:sz w:val="18"/>
        </w:rPr>
        <w:t xml:space="preserve">Table 3. </w:t>
      </w:r>
      <w:r>
        <w:rPr>
          <w:i/>
          <w:color w:val="555555"/>
          <w:sz w:val="18"/>
        </w:rPr>
        <w:t>Phase 2A daily walk-forward portfolio, gross vs net under the (1+β) billing (reports/backtest_portfolio_metrics.csv).</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255"/>
          </w:tcPr>
          <w:p>
            <w:pPr>
              <w:jc w:val="left"/>
            </w:pPr>
            <w:r/>
            <w:r>
              <w:rPr>
                <w:b/>
                <w:color w:val="FFFFFF"/>
                <w:sz w:val="19"/>
              </w:rPr>
              <w:t>metric</w:t>
            </w:r>
          </w:p>
        </w:tc>
        <w:tc>
          <w:tcPr>
            <w:tcW w:type="dxa" w:w="3216"/>
            <w:shd w:val="clear" w:fill="1F3255"/>
          </w:tcPr>
          <w:p>
            <w:pPr>
              <w:jc w:val="center"/>
            </w:pPr>
            <w:r/>
            <w:r>
              <w:rPr>
                <w:b/>
                <w:color w:val="FFFFFF"/>
                <w:sz w:val="19"/>
              </w:rPr>
              <w:t>gross</w:t>
            </w:r>
          </w:p>
        </w:tc>
        <w:tc>
          <w:tcPr>
            <w:tcW w:type="dxa" w:w="3216"/>
            <w:shd w:val="clear" w:fill="1F3255"/>
          </w:tcPr>
          <w:p>
            <w:pPr>
              <w:jc w:val="center"/>
            </w:pPr>
            <w:r/>
            <w:r>
              <w:rPr>
                <w:b/>
                <w:color w:val="FFFFFF"/>
                <w:sz w:val="19"/>
              </w:rPr>
              <w:t>net</w:t>
            </w:r>
          </w:p>
        </w:tc>
      </w:tr>
      <w:tr>
        <w:tc>
          <w:tcPr>
            <w:tcW w:type="dxa" w:w="3216"/>
          </w:tcPr>
          <w:p>
            <w:pPr>
              <w:jc w:val="left"/>
            </w:pPr>
            <w:r/>
            <w:r>
              <w:rPr>
                <w:sz w:val="19"/>
              </w:rPr>
              <w:t>Total return</w:t>
            </w:r>
          </w:p>
        </w:tc>
        <w:tc>
          <w:tcPr>
            <w:tcW w:type="dxa" w:w="3216"/>
          </w:tcPr>
          <w:p>
            <w:pPr>
              <w:jc w:val="center"/>
            </w:pPr>
            <w:r/>
            <w:r>
              <w:rPr>
                <w:sz w:val="19"/>
              </w:rPr>
              <w:t>297.35%</w:t>
            </w:r>
          </w:p>
        </w:tc>
        <w:tc>
          <w:tcPr>
            <w:tcW w:type="dxa" w:w="3216"/>
          </w:tcPr>
          <w:p>
            <w:pPr>
              <w:jc w:val="center"/>
            </w:pPr>
            <w:r/>
            <w:r>
              <w:rPr>
                <w:sz w:val="19"/>
              </w:rPr>
              <w:t>215.67%</w:t>
            </w:r>
          </w:p>
        </w:tc>
      </w:tr>
      <w:tr>
        <w:tc>
          <w:tcPr>
            <w:tcW w:type="dxa" w:w="3216"/>
            <w:shd w:val="clear" w:fill="EEF2F8"/>
          </w:tcPr>
          <w:p>
            <w:pPr>
              <w:jc w:val="left"/>
            </w:pPr>
            <w:r/>
            <w:r>
              <w:rPr>
                <w:sz w:val="19"/>
              </w:rPr>
              <w:t>Annualised return</w:t>
            </w:r>
          </w:p>
        </w:tc>
        <w:tc>
          <w:tcPr>
            <w:tcW w:type="dxa" w:w="3216"/>
            <w:shd w:val="clear" w:fill="EEF2F8"/>
          </w:tcPr>
          <w:p>
            <w:pPr>
              <w:jc w:val="center"/>
            </w:pPr>
            <w:r/>
            <w:r>
              <w:rPr>
                <w:sz w:val="19"/>
              </w:rPr>
              <w:t>21.79%</w:t>
            </w:r>
          </w:p>
        </w:tc>
        <w:tc>
          <w:tcPr>
            <w:tcW w:type="dxa" w:w="3216"/>
            <w:shd w:val="clear" w:fill="EEF2F8"/>
          </w:tcPr>
          <w:p>
            <w:pPr>
              <w:jc w:val="center"/>
            </w:pPr>
            <w:r/>
            <w:r>
              <w:rPr>
                <w:sz w:val="19"/>
              </w:rPr>
              <w:t>17.85%</w:t>
            </w:r>
          </w:p>
        </w:tc>
      </w:tr>
      <w:tr>
        <w:tc>
          <w:tcPr>
            <w:tcW w:type="dxa" w:w="3216"/>
          </w:tcPr>
          <w:p>
            <w:pPr>
              <w:jc w:val="left"/>
            </w:pPr>
            <w:r/>
            <w:r>
              <w:rPr>
                <w:sz w:val="19"/>
              </w:rPr>
              <w:t>Annualised vol</w:t>
            </w:r>
          </w:p>
        </w:tc>
        <w:tc>
          <w:tcPr>
            <w:tcW w:type="dxa" w:w="3216"/>
          </w:tcPr>
          <w:p>
            <w:pPr>
              <w:jc w:val="center"/>
            </w:pPr>
            <w:r/>
            <w:r>
              <w:rPr>
                <w:sz w:val="19"/>
              </w:rPr>
              <w:t>15.39%</w:t>
            </w:r>
          </w:p>
        </w:tc>
        <w:tc>
          <w:tcPr>
            <w:tcW w:type="dxa" w:w="3216"/>
          </w:tcPr>
          <w:p>
            <w:pPr>
              <w:jc w:val="center"/>
            </w:pPr>
            <w:r/>
            <w:r>
              <w:rPr>
                <w:sz w:val="19"/>
              </w:rPr>
              <w:t>15.16%</w:t>
            </w:r>
          </w:p>
        </w:tc>
      </w:tr>
      <w:tr>
        <w:tc>
          <w:tcPr>
            <w:tcW w:type="dxa" w:w="3216"/>
            <w:shd w:val="clear" w:fill="EEF2F8"/>
          </w:tcPr>
          <w:p>
            <w:pPr>
              <w:jc w:val="left"/>
            </w:pPr>
            <w:r/>
            <w:r>
              <w:rPr>
                <w:sz w:val="19"/>
              </w:rPr>
              <w:t>Sharpe</w:t>
            </w:r>
          </w:p>
        </w:tc>
        <w:tc>
          <w:tcPr>
            <w:tcW w:type="dxa" w:w="3216"/>
            <w:shd w:val="clear" w:fill="EEF2F8"/>
          </w:tcPr>
          <w:p>
            <w:pPr>
              <w:jc w:val="center"/>
            </w:pPr>
            <w:r/>
            <w:r>
              <w:rPr>
                <w:sz w:val="19"/>
              </w:rPr>
              <w:t>1.28</w:t>
            </w:r>
          </w:p>
        </w:tc>
        <w:tc>
          <w:tcPr>
            <w:tcW w:type="dxa" w:w="3216"/>
            <w:shd w:val="clear" w:fill="EEF2F8"/>
          </w:tcPr>
          <w:p>
            <w:pPr>
              <w:jc w:val="center"/>
            </w:pPr>
            <w:r/>
            <w:r>
              <w:rPr>
                <w:sz w:val="19"/>
              </w:rPr>
              <w:t>1.08</w:t>
            </w:r>
          </w:p>
        </w:tc>
      </w:tr>
      <w:tr>
        <w:tc>
          <w:tcPr>
            <w:tcW w:type="dxa" w:w="3216"/>
          </w:tcPr>
          <w:p>
            <w:pPr>
              <w:jc w:val="left"/>
            </w:pPr>
            <w:r/>
            <w:r>
              <w:rPr>
                <w:sz w:val="19"/>
              </w:rPr>
              <w:t>Max drawdown</w:t>
            </w:r>
          </w:p>
        </w:tc>
        <w:tc>
          <w:tcPr>
            <w:tcW w:type="dxa" w:w="3216"/>
          </w:tcPr>
          <w:p>
            <w:pPr>
              <w:jc w:val="center"/>
            </w:pPr>
            <w:r/>
            <w:r>
              <w:rPr>
                <w:sz w:val="19"/>
              </w:rPr>
              <w:t>-15.66%</w:t>
            </w:r>
          </w:p>
        </w:tc>
        <w:tc>
          <w:tcPr>
            <w:tcW w:type="dxa" w:w="3216"/>
          </w:tcPr>
          <w:p>
            <w:pPr>
              <w:jc w:val="center"/>
            </w:pPr>
            <w:r/>
            <w:r>
              <w:rPr>
                <w:sz w:val="19"/>
              </w:rPr>
              <w:t>-17.39%</w:t>
            </w:r>
          </w:p>
        </w:tc>
      </w:tr>
      <w:tr>
        <w:tc>
          <w:tcPr>
            <w:tcW w:type="dxa" w:w="3216"/>
            <w:shd w:val="clear" w:fill="EEF2F8"/>
          </w:tcPr>
          <w:p>
            <w:pPr>
              <w:jc w:val="left"/>
            </w:pPr>
            <w:r/>
            <w:r>
              <w:rPr>
                <w:sz w:val="19"/>
              </w:rPr>
              <w:t>Observations / years</w:t>
            </w:r>
          </w:p>
        </w:tc>
        <w:tc>
          <w:tcPr>
            <w:tcW w:type="dxa" w:w="3216"/>
            <w:shd w:val="clear" w:fill="EEF2F8"/>
          </w:tcPr>
          <w:p>
            <w:pPr>
              <w:jc w:val="center"/>
            </w:pPr>
            <w:r/>
            <w:r>
              <w:rPr>
                <w:sz w:val="19"/>
              </w:rPr>
              <w:t>1764 / 7</w:t>
            </w:r>
          </w:p>
        </w:tc>
        <w:tc>
          <w:tcPr>
            <w:tcW w:type="dxa" w:w="3216"/>
            <w:shd w:val="clear" w:fill="EEF2F8"/>
          </w:tcPr>
          <w:p>
            <w:pPr>
              <w:jc w:val="center"/>
            </w:pPr>
            <w:r/>
            <w:r>
              <w:rPr>
                <w:sz w:val="19"/>
              </w:rPr>
              <w:t>1764 / 7</w:t>
            </w:r>
          </w:p>
        </w:tc>
      </w:tr>
    </w:tbl>
    <w:p>
      <w:pPr>
        <w:spacing w:after="120"/>
      </w:pPr>
    </w:p>
    <w:p>
      <w:pPr>
        <w:spacing w:after="60"/>
      </w:pPr>
      <w:r>
        <w:rPr>
          <w:b/>
          <w:color w:val="2E5A88"/>
          <w:sz w:val="18"/>
        </w:rPr>
        <w:t xml:space="preserve">Table 4. </w:t>
      </w:r>
      <w:r>
        <w:rPr>
          <w:i/>
          <w:color w:val="555555"/>
          <w:sz w:val="18"/>
        </w:rPr>
        <w:t>Phase 2A per-pair contributors (top 8 of 25 pairs by net return; reports/backtest_per_pair_metrics.csv). PFC/SBIN and the oil-complex pairs carry the book — foreshadowing the concentration finding.</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1F3255"/>
          </w:tcPr>
          <w:p>
            <w:pPr>
              <w:jc w:val="left"/>
            </w:pPr>
            <w:r/>
            <w:r>
              <w:rPr>
                <w:b/>
                <w:color w:val="FFFFFF"/>
                <w:sz w:val="18"/>
              </w:rPr>
              <w:t>pair</w:t>
            </w:r>
          </w:p>
        </w:tc>
        <w:tc>
          <w:tcPr>
            <w:tcW w:type="dxa" w:w="1378"/>
            <w:shd w:val="clear" w:fill="1F3255"/>
          </w:tcPr>
          <w:p>
            <w:pPr>
              <w:jc w:val="center"/>
            </w:pPr>
            <w:r/>
            <w:r>
              <w:rPr>
                <w:b/>
                <w:color w:val="FFFFFF"/>
                <w:sz w:val="18"/>
              </w:rPr>
              <w:t>trades</w:t>
            </w:r>
          </w:p>
        </w:tc>
        <w:tc>
          <w:tcPr>
            <w:tcW w:type="dxa" w:w="1378"/>
            <w:shd w:val="clear" w:fill="1F3255"/>
          </w:tcPr>
          <w:p>
            <w:pPr>
              <w:jc w:val="center"/>
            </w:pPr>
            <w:r/>
            <w:r>
              <w:rPr>
                <w:b/>
                <w:color w:val="FFFFFF"/>
                <w:sz w:val="18"/>
              </w:rPr>
              <w:t>gross tot%</w:t>
            </w:r>
          </w:p>
        </w:tc>
        <w:tc>
          <w:tcPr>
            <w:tcW w:type="dxa" w:w="1378"/>
            <w:shd w:val="clear" w:fill="1F3255"/>
          </w:tcPr>
          <w:p>
            <w:pPr>
              <w:jc w:val="center"/>
            </w:pPr>
            <w:r/>
            <w:r>
              <w:rPr>
                <w:b/>
                <w:color w:val="FFFFFF"/>
                <w:sz w:val="18"/>
              </w:rPr>
              <w:t>net tot%</w:t>
            </w:r>
          </w:p>
        </w:tc>
        <w:tc>
          <w:tcPr>
            <w:tcW w:type="dxa" w:w="1378"/>
            <w:shd w:val="clear" w:fill="1F3255"/>
          </w:tcPr>
          <w:p>
            <w:pPr>
              <w:jc w:val="center"/>
            </w:pPr>
            <w:r/>
            <w:r>
              <w:rPr>
                <w:b/>
                <w:color w:val="FFFFFF"/>
                <w:sz w:val="18"/>
              </w:rPr>
              <w:t>gross Sh</w:t>
            </w:r>
          </w:p>
        </w:tc>
        <w:tc>
          <w:tcPr>
            <w:tcW w:type="dxa" w:w="1378"/>
            <w:shd w:val="clear" w:fill="1F3255"/>
          </w:tcPr>
          <w:p>
            <w:pPr>
              <w:jc w:val="center"/>
            </w:pPr>
            <w:r/>
            <w:r>
              <w:rPr>
                <w:b/>
                <w:color w:val="FFFFFF"/>
                <w:sz w:val="18"/>
              </w:rPr>
              <w:t>net Sh</w:t>
            </w:r>
          </w:p>
        </w:tc>
        <w:tc>
          <w:tcPr>
            <w:tcW w:type="dxa" w:w="1378"/>
            <w:shd w:val="clear" w:fill="1F3255"/>
          </w:tcPr>
          <w:p>
            <w:pPr>
              <w:jc w:val="center"/>
            </w:pPr>
            <w:r/>
            <w:r>
              <w:rPr>
                <w:b/>
                <w:color w:val="FFFFFF"/>
                <w:sz w:val="18"/>
              </w:rPr>
              <w:t>net maxDD%</w:t>
            </w:r>
          </w:p>
        </w:tc>
      </w:tr>
      <w:tr>
        <w:tc>
          <w:tcPr>
            <w:tcW w:type="dxa" w:w="1378"/>
          </w:tcPr>
          <w:p>
            <w:pPr>
              <w:jc w:val="left"/>
            </w:pPr>
            <w:r/>
            <w:r>
              <w:rPr>
                <w:sz w:val="18"/>
              </w:rPr>
              <w:t>SBIN/AXISBANK</w:t>
            </w:r>
          </w:p>
        </w:tc>
        <w:tc>
          <w:tcPr>
            <w:tcW w:type="dxa" w:w="1378"/>
          </w:tcPr>
          <w:p>
            <w:pPr>
              <w:jc w:val="center"/>
            </w:pPr>
            <w:r/>
            <w:r>
              <w:rPr>
                <w:sz w:val="18"/>
              </w:rPr>
              <w:t>4</w:t>
            </w:r>
          </w:p>
        </w:tc>
        <w:tc>
          <w:tcPr>
            <w:tcW w:type="dxa" w:w="1378"/>
          </w:tcPr>
          <w:p>
            <w:pPr>
              <w:jc w:val="center"/>
            </w:pPr>
            <w:r/>
            <w:r>
              <w:rPr>
                <w:sz w:val="18"/>
              </w:rPr>
              <w:t>27.07</w:t>
            </w:r>
          </w:p>
        </w:tc>
        <w:tc>
          <w:tcPr>
            <w:tcW w:type="dxa" w:w="1378"/>
          </w:tcPr>
          <w:p>
            <w:pPr>
              <w:jc w:val="center"/>
            </w:pPr>
            <w:r/>
            <w:r>
              <w:rPr>
                <w:sz w:val="18"/>
              </w:rPr>
              <w:t>24.85</w:t>
            </w:r>
          </w:p>
        </w:tc>
        <w:tc>
          <w:tcPr>
            <w:tcW w:type="dxa" w:w="1378"/>
          </w:tcPr>
          <w:p>
            <w:pPr>
              <w:jc w:val="center"/>
            </w:pPr>
            <w:r/>
            <w:r>
              <w:rPr>
                <w:sz w:val="18"/>
              </w:rPr>
              <w:t>2.35</w:t>
            </w:r>
          </w:p>
        </w:tc>
        <w:tc>
          <w:tcPr>
            <w:tcW w:type="dxa" w:w="1378"/>
          </w:tcPr>
          <w:p>
            <w:pPr>
              <w:jc w:val="center"/>
            </w:pPr>
            <w:r/>
            <w:r>
              <w:rPr>
                <w:sz w:val="18"/>
              </w:rPr>
              <w:t>2.26</w:t>
            </w:r>
          </w:p>
        </w:tc>
        <w:tc>
          <w:tcPr>
            <w:tcW w:type="dxa" w:w="1378"/>
          </w:tcPr>
          <w:p>
            <w:pPr>
              <w:jc w:val="center"/>
            </w:pPr>
            <w:r/>
            <w:r>
              <w:rPr>
                <w:sz w:val="18"/>
              </w:rPr>
              <w:t>-5.04</w:t>
            </w:r>
          </w:p>
        </w:tc>
      </w:tr>
      <w:tr>
        <w:tc>
          <w:tcPr>
            <w:tcW w:type="dxa" w:w="1378"/>
            <w:shd w:val="clear" w:fill="EEF2F8"/>
          </w:tcPr>
          <w:p>
            <w:pPr>
              <w:jc w:val="left"/>
            </w:pPr>
            <w:r/>
            <w:r>
              <w:rPr>
                <w:sz w:val="18"/>
              </w:rPr>
              <w:t>HINDPETRO/IOC</w:t>
            </w:r>
          </w:p>
        </w:tc>
        <w:tc>
          <w:tcPr>
            <w:tcW w:type="dxa" w:w="1378"/>
            <w:shd w:val="clear" w:fill="EEF2F8"/>
          </w:tcPr>
          <w:p>
            <w:pPr>
              <w:jc w:val="center"/>
            </w:pPr>
            <w:r/>
            <w:r>
              <w:rPr>
                <w:sz w:val="18"/>
              </w:rPr>
              <w:t>5</w:t>
            </w:r>
          </w:p>
        </w:tc>
        <w:tc>
          <w:tcPr>
            <w:tcW w:type="dxa" w:w="1378"/>
            <w:shd w:val="clear" w:fill="EEF2F8"/>
          </w:tcPr>
          <w:p>
            <w:pPr>
              <w:jc w:val="center"/>
            </w:pPr>
            <w:r/>
            <w:r>
              <w:rPr>
                <w:sz w:val="18"/>
              </w:rPr>
              <w:t>38.41</w:t>
            </w:r>
          </w:p>
        </w:tc>
        <w:tc>
          <w:tcPr>
            <w:tcW w:type="dxa" w:w="1378"/>
            <w:shd w:val="clear" w:fill="EEF2F8"/>
          </w:tcPr>
          <w:p>
            <w:pPr>
              <w:jc w:val="center"/>
            </w:pPr>
            <w:r/>
            <w:r>
              <w:rPr>
                <w:sz w:val="18"/>
              </w:rPr>
              <w:t>34.57</w:t>
            </w:r>
          </w:p>
        </w:tc>
        <w:tc>
          <w:tcPr>
            <w:tcW w:type="dxa" w:w="1378"/>
            <w:shd w:val="clear" w:fill="EEF2F8"/>
          </w:tcPr>
          <w:p>
            <w:pPr>
              <w:jc w:val="center"/>
            </w:pPr>
            <w:r/>
            <w:r>
              <w:rPr>
                <w:sz w:val="18"/>
              </w:rPr>
              <w:t>1.76</w:t>
            </w:r>
          </w:p>
        </w:tc>
        <w:tc>
          <w:tcPr>
            <w:tcW w:type="dxa" w:w="1378"/>
            <w:shd w:val="clear" w:fill="EEF2F8"/>
          </w:tcPr>
          <w:p>
            <w:pPr>
              <w:jc w:val="center"/>
            </w:pPr>
            <w:r/>
            <w:r>
              <w:rPr>
                <w:sz w:val="18"/>
              </w:rPr>
              <w:t>1.66</w:t>
            </w:r>
          </w:p>
        </w:tc>
        <w:tc>
          <w:tcPr>
            <w:tcW w:type="dxa" w:w="1378"/>
            <w:shd w:val="clear" w:fill="EEF2F8"/>
          </w:tcPr>
          <w:p>
            <w:pPr>
              <w:jc w:val="center"/>
            </w:pPr>
            <w:r/>
            <w:r>
              <w:rPr>
                <w:sz w:val="18"/>
              </w:rPr>
              <w:t>-12.40</w:t>
            </w:r>
          </w:p>
        </w:tc>
      </w:tr>
      <w:tr>
        <w:tc>
          <w:tcPr>
            <w:tcW w:type="dxa" w:w="1378"/>
          </w:tcPr>
          <w:p>
            <w:pPr>
              <w:jc w:val="left"/>
            </w:pPr>
            <w:r/>
            <w:r>
              <w:rPr>
                <w:sz w:val="18"/>
              </w:rPr>
              <w:t>OIL/ONGC</w:t>
            </w:r>
          </w:p>
        </w:tc>
        <w:tc>
          <w:tcPr>
            <w:tcW w:type="dxa" w:w="1378"/>
          </w:tcPr>
          <w:p>
            <w:pPr>
              <w:jc w:val="center"/>
            </w:pPr>
            <w:r/>
            <w:r>
              <w:rPr>
                <w:sz w:val="18"/>
              </w:rPr>
              <w:t>5</w:t>
            </w:r>
          </w:p>
        </w:tc>
        <w:tc>
          <w:tcPr>
            <w:tcW w:type="dxa" w:w="1378"/>
          </w:tcPr>
          <w:p>
            <w:pPr>
              <w:jc w:val="center"/>
            </w:pPr>
            <w:r/>
            <w:r>
              <w:rPr>
                <w:sz w:val="18"/>
              </w:rPr>
              <w:t>25.32</w:t>
            </w:r>
          </w:p>
        </w:tc>
        <w:tc>
          <w:tcPr>
            <w:tcW w:type="dxa" w:w="1378"/>
          </w:tcPr>
          <w:p>
            <w:pPr>
              <w:jc w:val="center"/>
            </w:pPr>
            <w:r/>
            <w:r>
              <w:rPr>
                <w:sz w:val="18"/>
              </w:rPr>
              <w:t>22.51</w:t>
            </w:r>
          </w:p>
        </w:tc>
        <w:tc>
          <w:tcPr>
            <w:tcW w:type="dxa" w:w="1378"/>
          </w:tcPr>
          <w:p>
            <w:pPr>
              <w:jc w:val="center"/>
            </w:pPr>
            <w:r/>
            <w:r>
              <w:rPr>
                <w:sz w:val="18"/>
              </w:rPr>
              <w:t>1.77</w:t>
            </w:r>
          </w:p>
        </w:tc>
        <w:tc>
          <w:tcPr>
            <w:tcW w:type="dxa" w:w="1378"/>
          </w:tcPr>
          <w:p>
            <w:pPr>
              <w:jc w:val="center"/>
            </w:pPr>
            <w:r/>
            <w:r>
              <w:rPr>
                <w:sz w:val="18"/>
              </w:rPr>
              <w:t>1.65</w:t>
            </w:r>
          </w:p>
        </w:tc>
        <w:tc>
          <w:tcPr>
            <w:tcW w:type="dxa" w:w="1378"/>
          </w:tcPr>
          <w:p>
            <w:pPr>
              <w:jc w:val="center"/>
            </w:pPr>
            <w:r/>
            <w:r>
              <w:rPr>
                <w:sz w:val="18"/>
              </w:rPr>
              <w:t>-4.45</w:t>
            </w:r>
          </w:p>
        </w:tc>
      </w:tr>
      <w:tr>
        <w:tc>
          <w:tcPr>
            <w:tcW w:type="dxa" w:w="1378"/>
            <w:shd w:val="clear" w:fill="EEF2F8"/>
          </w:tcPr>
          <w:p>
            <w:pPr>
              <w:jc w:val="left"/>
            </w:pPr>
            <w:r/>
            <w:r>
              <w:rPr>
                <w:sz w:val="18"/>
              </w:rPr>
              <w:t>PFC/SBIN</w:t>
            </w:r>
          </w:p>
        </w:tc>
        <w:tc>
          <w:tcPr>
            <w:tcW w:type="dxa" w:w="1378"/>
            <w:shd w:val="clear" w:fill="EEF2F8"/>
          </w:tcPr>
          <w:p>
            <w:pPr>
              <w:jc w:val="center"/>
            </w:pPr>
            <w:r/>
            <w:r>
              <w:rPr>
                <w:sz w:val="18"/>
              </w:rPr>
              <w:t>14</w:t>
            </w:r>
          </w:p>
        </w:tc>
        <w:tc>
          <w:tcPr>
            <w:tcW w:type="dxa" w:w="1378"/>
            <w:shd w:val="clear" w:fill="EEF2F8"/>
          </w:tcPr>
          <w:p>
            <w:pPr>
              <w:jc w:val="center"/>
            </w:pPr>
            <w:r/>
            <w:r>
              <w:rPr>
                <w:sz w:val="18"/>
              </w:rPr>
              <w:t>185.08</w:t>
            </w:r>
          </w:p>
        </w:tc>
        <w:tc>
          <w:tcPr>
            <w:tcW w:type="dxa" w:w="1378"/>
            <w:shd w:val="clear" w:fill="EEF2F8"/>
          </w:tcPr>
          <w:p>
            <w:pPr>
              <w:jc w:val="center"/>
            </w:pPr>
            <w:r/>
            <w:r>
              <w:rPr>
                <w:sz w:val="18"/>
              </w:rPr>
              <w:t>163.09</w:t>
            </w:r>
          </w:p>
        </w:tc>
        <w:tc>
          <w:tcPr>
            <w:tcW w:type="dxa" w:w="1378"/>
            <w:shd w:val="clear" w:fill="EEF2F8"/>
          </w:tcPr>
          <w:p>
            <w:pPr>
              <w:jc w:val="center"/>
            </w:pPr>
            <w:r/>
            <w:r>
              <w:rPr>
                <w:sz w:val="18"/>
              </w:rPr>
              <w:t>1.72</w:t>
            </w:r>
          </w:p>
        </w:tc>
        <w:tc>
          <w:tcPr>
            <w:tcW w:type="dxa" w:w="1378"/>
            <w:shd w:val="clear" w:fill="EEF2F8"/>
          </w:tcPr>
          <w:p>
            <w:pPr>
              <w:jc w:val="center"/>
            </w:pPr>
            <w:r/>
            <w:r>
              <w:rPr>
                <w:sz w:val="18"/>
              </w:rPr>
              <w:t>1.62</w:t>
            </w:r>
          </w:p>
        </w:tc>
        <w:tc>
          <w:tcPr>
            <w:tcW w:type="dxa" w:w="1378"/>
            <w:shd w:val="clear" w:fill="EEF2F8"/>
          </w:tcPr>
          <w:p>
            <w:pPr>
              <w:jc w:val="center"/>
            </w:pPr>
            <w:r/>
            <w:r>
              <w:rPr>
                <w:sz w:val="18"/>
              </w:rPr>
              <w:t>-18.96</w:t>
            </w:r>
          </w:p>
        </w:tc>
      </w:tr>
      <w:tr>
        <w:tc>
          <w:tcPr>
            <w:tcW w:type="dxa" w:w="1378"/>
          </w:tcPr>
          <w:p>
            <w:pPr>
              <w:jc w:val="left"/>
            </w:pPr>
            <w:r/>
            <w:r>
              <w:rPr>
                <w:sz w:val="18"/>
              </w:rPr>
              <w:t>ONGC/OIL</w:t>
            </w:r>
          </w:p>
        </w:tc>
        <w:tc>
          <w:tcPr>
            <w:tcW w:type="dxa" w:w="1378"/>
          </w:tcPr>
          <w:p>
            <w:pPr>
              <w:jc w:val="center"/>
            </w:pPr>
            <w:r/>
            <w:r>
              <w:rPr>
                <w:sz w:val="18"/>
              </w:rPr>
              <w:t>14</w:t>
            </w:r>
          </w:p>
        </w:tc>
        <w:tc>
          <w:tcPr>
            <w:tcW w:type="dxa" w:w="1378"/>
          </w:tcPr>
          <w:p>
            <w:pPr>
              <w:jc w:val="center"/>
            </w:pPr>
            <w:r/>
            <w:r>
              <w:rPr>
                <w:sz w:val="18"/>
              </w:rPr>
              <w:t>88.41</w:t>
            </w:r>
          </w:p>
        </w:tc>
        <w:tc>
          <w:tcPr>
            <w:tcW w:type="dxa" w:w="1378"/>
          </w:tcPr>
          <w:p>
            <w:pPr>
              <w:jc w:val="center"/>
            </w:pPr>
            <w:r/>
            <w:r>
              <w:rPr>
                <w:sz w:val="18"/>
              </w:rPr>
              <w:t>76.44</w:t>
            </w:r>
          </w:p>
        </w:tc>
        <w:tc>
          <w:tcPr>
            <w:tcW w:type="dxa" w:w="1378"/>
          </w:tcPr>
          <w:p>
            <w:pPr>
              <w:jc w:val="center"/>
            </w:pPr>
            <w:r/>
            <w:r>
              <w:rPr>
                <w:sz w:val="18"/>
              </w:rPr>
              <w:t>1.51</w:t>
            </w:r>
          </w:p>
        </w:tc>
        <w:tc>
          <w:tcPr>
            <w:tcW w:type="dxa" w:w="1378"/>
          </w:tcPr>
          <w:p>
            <w:pPr>
              <w:jc w:val="center"/>
            </w:pPr>
            <w:r/>
            <w:r>
              <w:rPr>
                <w:sz w:val="18"/>
              </w:rPr>
              <w:t>1.38</w:t>
            </w:r>
          </w:p>
        </w:tc>
        <w:tc>
          <w:tcPr>
            <w:tcW w:type="dxa" w:w="1378"/>
          </w:tcPr>
          <w:p>
            <w:pPr>
              <w:jc w:val="center"/>
            </w:pPr>
            <w:r/>
            <w:r>
              <w:rPr>
                <w:sz w:val="18"/>
              </w:rPr>
              <w:t>-8.08</w:t>
            </w:r>
          </w:p>
        </w:tc>
      </w:tr>
      <w:tr>
        <w:tc>
          <w:tcPr>
            <w:tcW w:type="dxa" w:w="1378"/>
            <w:shd w:val="clear" w:fill="EEF2F8"/>
          </w:tcPr>
          <w:p>
            <w:pPr>
              <w:jc w:val="left"/>
            </w:pPr>
            <w:r/>
            <w:r>
              <w:rPr>
                <w:sz w:val="18"/>
              </w:rPr>
              <w:t>BANKBARODA/ICICIBANK</w:t>
            </w:r>
          </w:p>
        </w:tc>
        <w:tc>
          <w:tcPr>
            <w:tcW w:type="dxa" w:w="1378"/>
            <w:shd w:val="clear" w:fill="EEF2F8"/>
          </w:tcPr>
          <w:p>
            <w:pPr>
              <w:jc w:val="center"/>
            </w:pPr>
            <w:r/>
            <w:r>
              <w:rPr>
                <w:sz w:val="18"/>
              </w:rPr>
              <w:t>5</w:t>
            </w:r>
          </w:p>
        </w:tc>
        <w:tc>
          <w:tcPr>
            <w:tcW w:type="dxa" w:w="1378"/>
            <w:shd w:val="clear" w:fill="EEF2F8"/>
          </w:tcPr>
          <w:p>
            <w:pPr>
              <w:jc w:val="center"/>
            </w:pPr>
            <w:r/>
            <w:r>
              <w:rPr>
                <w:sz w:val="18"/>
              </w:rPr>
              <w:t>29.46</w:t>
            </w:r>
          </w:p>
        </w:tc>
        <w:tc>
          <w:tcPr>
            <w:tcW w:type="dxa" w:w="1378"/>
            <w:shd w:val="clear" w:fill="EEF2F8"/>
          </w:tcPr>
          <w:p>
            <w:pPr>
              <w:jc w:val="center"/>
            </w:pPr>
            <w:r/>
            <w:r>
              <w:rPr>
                <w:sz w:val="18"/>
              </w:rPr>
              <w:t>25.85</w:t>
            </w:r>
          </w:p>
        </w:tc>
        <w:tc>
          <w:tcPr>
            <w:tcW w:type="dxa" w:w="1378"/>
            <w:shd w:val="clear" w:fill="EEF2F8"/>
          </w:tcPr>
          <w:p>
            <w:pPr>
              <w:jc w:val="center"/>
            </w:pPr>
            <w:r/>
            <w:r>
              <w:rPr>
                <w:sz w:val="18"/>
              </w:rPr>
              <w:t>1.25</w:t>
            </w:r>
          </w:p>
        </w:tc>
        <w:tc>
          <w:tcPr>
            <w:tcW w:type="dxa" w:w="1378"/>
            <w:shd w:val="clear" w:fill="EEF2F8"/>
          </w:tcPr>
          <w:p>
            <w:pPr>
              <w:jc w:val="center"/>
            </w:pPr>
            <w:r/>
            <w:r>
              <w:rPr>
                <w:sz w:val="18"/>
              </w:rPr>
              <w:t>1.15</w:t>
            </w:r>
          </w:p>
        </w:tc>
        <w:tc>
          <w:tcPr>
            <w:tcW w:type="dxa" w:w="1378"/>
            <w:shd w:val="clear" w:fill="EEF2F8"/>
          </w:tcPr>
          <w:p>
            <w:pPr>
              <w:jc w:val="center"/>
            </w:pPr>
            <w:r/>
            <w:r>
              <w:rPr>
                <w:sz w:val="18"/>
              </w:rPr>
              <w:t>-13.34</w:t>
            </w:r>
          </w:p>
        </w:tc>
      </w:tr>
      <w:tr>
        <w:tc>
          <w:tcPr>
            <w:tcW w:type="dxa" w:w="1378"/>
          </w:tcPr>
          <w:p>
            <w:pPr>
              <w:jc w:val="left"/>
            </w:pPr>
            <w:r/>
            <w:r>
              <w:rPr>
                <w:sz w:val="18"/>
              </w:rPr>
              <w:t>AMBUJACEM/ACC</w:t>
            </w:r>
          </w:p>
        </w:tc>
        <w:tc>
          <w:tcPr>
            <w:tcW w:type="dxa" w:w="1378"/>
          </w:tcPr>
          <w:p>
            <w:pPr>
              <w:jc w:val="center"/>
            </w:pPr>
            <w:r/>
            <w:r>
              <w:rPr>
                <w:sz w:val="18"/>
              </w:rPr>
              <w:t>6</w:t>
            </w:r>
          </w:p>
        </w:tc>
        <w:tc>
          <w:tcPr>
            <w:tcW w:type="dxa" w:w="1378"/>
          </w:tcPr>
          <w:p>
            <w:pPr>
              <w:jc w:val="center"/>
            </w:pPr>
            <w:r/>
            <w:r>
              <w:rPr>
                <w:sz w:val="18"/>
              </w:rPr>
              <w:t>13.33</w:t>
            </w:r>
          </w:p>
        </w:tc>
        <w:tc>
          <w:tcPr>
            <w:tcW w:type="dxa" w:w="1378"/>
          </w:tcPr>
          <w:p>
            <w:pPr>
              <w:jc w:val="center"/>
            </w:pPr>
            <w:r/>
            <w:r>
              <w:rPr>
                <w:sz w:val="18"/>
              </w:rPr>
              <w:t>10.11</w:t>
            </w:r>
          </w:p>
        </w:tc>
        <w:tc>
          <w:tcPr>
            <w:tcW w:type="dxa" w:w="1378"/>
          </w:tcPr>
          <w:p>
            <w:pPr>
              <w:jc w:val="center"/>
            </w:pPr>
            <w:r/>
            <w:r>
              <w:rPr>
                <w:sz w:val="18"/>
              </w:rPr>
              <w:t>1.34</w:t>
            </w:r>
          </w:p>
        </w:tc>
        <w:tc>
          <w:tcPr>
            <w:tcW w:type="dxa" w:w="1378"/>
          </w:tcPr>
          <w:p>
            <w:pPr>
              <w:jc w:val="center"/>
            </w:pPr>
            <w:r/>
            <w:r>
              <w:rPr>
                <w:sz w:val="18"/>
              </w:rPr>
              <w:t>1.06</w:t>
            </w:r>
          </w:p>
        </w:tc>
        <w:tc>
          <w:tcPr>
            <w:tcW w:type="dxa" w:w="1378"/>
          </w:tcPr>
          <w:p>
            <w:pPr>
              <w:jc w:val="center"/>
            </w:pPr>
            <w:r/>
            <w:r>
              <w:rPr>
                <w:sz w:val="18"/>
              </w:rPr>
              <w:t>-7.43</w:t>
            </w:r>
          </w:p>
        </w:tc>
      </w:tr>
      <w:tr>
        <w:tc>
          <w:tcPr>
            <w:tcW w:type="dxa" w:w="1378"/>
            <w:shd w:val="clear" w:fill="EEF2F8"/>
          </w:tcPr>
          <w:p>
            <w:pPr>
              <w:jc w:val="left"/>
            </w:pPr>
            <w:r/>
            <w:r>
              <w:rPr>
                <w:sz w:val="18"/>
              </w:rPr>
              <w:t>TATASTEEL/JINDALSTEL</w:t>
            </w:r>
          </w:p>
        </w:tc>
        <w:tc>
          <w:tcPr>
            <w:tcW w:type="dxa" w:w="1378"/>
            <w:shd w:val="clear" w:fill="EEF2F8"/>
          </w:tcPr>
          <w:p>
            <w:pPr>
              <w:jc w:val="center"/>
            </w:pPr>
            <w:r/>
            <w:r>
              <w:rPr>
                <w:sz w:val="18"/>
              </w:rPr>
              <w:t>7</w:t>
            </w:r>
          </w:p>
        </w:tc>
        <w:tc>
          <w:tcPr>
            <w:tcW w:type="dxa" w:w="1378"/>
            <w:shd w:val="clear" w:fill="EEF2F8"/>
          </w:tcPr>
          <w:p>
            <w:pPr>
              <w:jc w:val="center"/>
            </w:pPr>
            <w:r/>
            <w:r>
              <w:rPr>
                <w:sz w:val="18"/>
              </w:rPr>
              <w:t>19.59</w:t>
            </w:r>
          </w:p>
        </w:tc>
        <w:tc>
          <w:tcPr>
            <w:tcW w:type="dxa" w:w="1378"/>
            <w:shd w:val="clear" w:fill="EEF2F8"/>
          </w:tcPr>
          <w:p>
            <w:pPr>
              <w:jc w:val="center"/>
            </w:pPr>
            <w:r/>
            <w:r>
              <w:rPr>
                <w:sz w:val="18"/>
              </w:rPr>
              <w:t>16.20</w:t>
            </w:r>
          </w:p>
        </w:tc>
        <w:tc>
          <w:tcPr>
            <w:tcW w:type="dxa" w:w="1378"/>
            <w:shd w:val="clear" w:fill="EEF2F8"/>
          </w:tcPr>
          <w:p>
            <w:pPr>
              <w:jc w:val="center"/>
            </w:pPr>
            <w:r/>
            <w:r>
              <w:rPr>
                <w:sz w:val="18"/>
              </w:rPr>
              <w:t>0.93</w:t>
            </w:r>
          </w:p>
        </w:tc>
        <w:tc>
          <w:tcPr>
            <w:tcW w:type="dxa" w:w="1378"/>
            <w:shd w:val="clear" w:fill="EEF2F8"/>
          </w:tcPr>
          <w:p>
            <w:pPr>
              <w:jc w:val="center"/>
            </w:pPr>
            <w:r/>
            <w:r>
              <w:rPr>
                <w:sz w:val="18"/>
              </w:rPr>
              <w:t>0.78</w:t>
            </w:r>
          </w:p>
        </w:tc>
        <w:tc>
          <w:tcPr>
            <w:tcW w:type="dxa" w:w="1378"/>
            <w:shd w:val="clear" w:fill="EEF2F8"/>
          </w:tcPr>
          <w:p>
            <w:pPr>
              <w:jc w:val="center"/>
            </w:pPr>
            <w:r/>
            <w:r>
              <w:rPr>
                <w:sz w:val="18"/>
              </w:rPr>
              <w:t>-15.10</w:t>
            </w:r>
          </w:p>
        </w:tc>
      </w:tr>
    </w:tbl>
    <w:p>
      <w:pPr>
        <w:spacing w:after="120"/>
      </w:pPr>
    </w:p>
    <w:p>
      <w:pPr>
        <w:jc w:val="center"/>
      </w:pPr>
    </w:p>
    <w:p>
      <w:pPr>
        <w:jc w:val="center"/>
      </w:pPr>
      <w:r>
        <w:drawing>
          <wp:inline xmlns:a="http://schemas.openxmlformats.org/drawingml/2006/main" xmlns:pic="http://schemas.openxmlformats.org/drawingml/2006/picture">
            <wp:extent cx="5303520" cy="4079631"/>
            <wp:docPr id="5" name="Picture 5"/>
            <wp:cNvGraphicFramePr>
              <a:graphicFrameLocks noChangeAspect="1"/>
            </wp:cNvGraphicFramePr>
            <a:graphic>
              <a:graphicData uri="http://schemas.openxmlformats.org/drawingml/2006/picture">
                <pic:pic>
                  <pic:nvPicPr>
                    <pic:cNvPr id="0" name="equity_curve.png"/>
                    <pic:cNvPicPr/>
                  </pic:nvPicPr>
                  <pic:blipFill>
                    <a:blip r:embed="rId13"/>
                    <a:stretch>
                      <a:fillRect/>
                    </a:stretch>
                  </pic:blipFill>
                  <pic:spPr>
                    <a:xfrm>
                      <a:off x="0" y="0"/>
                      <a:ext cx="5303520" cy="4079631"/>
                    </a:xfrm>
                    <a:prstGeom prst="rect"/>
                  </pic:spPr>
                </pic:pic>
              </a:graphicData>
            </a:graphic>
          </wp:inline>
        </w:drawing>
      </w:r>
    </w:p>
    <w:p>
      <w:pPr>
        <w:spacing w:after="200"/>
        <w:jc w:val="center"/>
      </w:pPr>
      <w:r>
        <w:rPr>
          <w:b/>
          <w:color w:val="2E5A88"/>
          <w:sz w:val="18"/>
        </w:rPr>
        <w:t xml:space="preserve">Figure 5. </w:t>
      </w:r>
      <w:r>
        <w:rPr>
          <w:i/>
          <w:color w:val="555555"/>
          <w:sz w:val="18"/>
        </w:rPr>
        <w:t>Phase 2A portfolio equity curve, daily walk-forward (scripts/10 backtest).</w:t>
      </w:r>
    </w:p>
    <w:p>
      <w:pPr>
        <w:pStyle w:val="Heading2"/>
      </w:pPr>
      <w:r>
        <w:rPr>
          <w:color w:val="1F3255"/>
        </w:rPr>
        <w:t>5.2  Phase 2B — risk-managed ablation (rolled back)</w:t>
      </w:r>
    </w:p>
    <w:p>
      <w:pPr>
        <w:spacing w:after="120"/>
      </w:pPr>
      <w:r>
        <w:rPr>
          <w:b w:val="0"/>
          <w:i w:val="0"/>
          <w:sz w:val="21"/>
        </w:rPr>
        <w:t>A sizing/risk ablation ladder (R0 baseline → R4 with cluster caps and a relationship-kill switch) tested whether the baseline's drawdown is a sizing problem. It is not. Volatility-matching R0 and the heavily risk-controlled R3 to a common target produces near-identical Sharpe (0.941 vs 0.930) — a tie. The drawdown is driven by the cointegrated pairs being concentrated in a few clusters (banks, oil) that dislocate together, not by position sizing. The experiment was reverted; the finding — concentration is a universe problem, not a sizing problem — is preserved on its branch.</w:t>
      </w:r>
    </w:p>
    <w:p>
      <w:pPr>
        <w:spacing w:after="60"/>
      </w:pPr>
      <w:r>
        <w:rPr>
          <w:b/>
          <w:color w:val="2E5A88"/>
          <w:sz w:val="18"/>
        </w:rPr>
        <w:t xml:space="preserve">Table 5. </w:t>
      </w:r>
      <w:r>
        <w:rPr>
          <w:i/>
          <w:color w:val="555555"/>
          <w:sz w:val="18"/>
        </w:rPr>
        <w:t>Risk-managed ladder R0–R4 (reports/risk_managed_ladder.csv). R3/R4 cut drawdown only by cutting the book to ~half the trades; net return falls with it.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1F3255"/>
          </w:tcPr>
          <w:p>
            <w:pPr>
              <w:jc w:val="left"/>
            </w:pPr>
            <w:r/>
            <w:r>
              <w:rPr>
                <w:b/>
                <w:color w:val="FFFFFF"/>
                <w:sz w:val="18"/>
              </w:rPr>
              <w:t>rung</w:t>
            </w:r>
          </w:p>
        </w:tc>
        <w:tc>
          <w:tcPr>
            <w:tcW w:type="dxa" w:w="1378"/>
            <w:shd w:val="clear" w:fill="1F3255"/>
          </w:tcPr>
          <w:p>
            <w:pPr>
              <w:jc w:val="center"/>
            </w:pPr>
            <w:r/>
            <w:r>
              <w:rPr>
                <w:b/>
                <w:color w:val="FFFFFF"/>
                <w:sz w:val="18"/>
              </w:rPr>
              <w:t>kill</w:t>
            </w:r>
          </w:p>
        </w:tc>
        <w:tc>
          <w:tcPr>
            <w:tcW w:type="dxa" w:w="1378"/>
            <w:shd w:val="clear" w:fill="1F3255"/>
          </w:tcPr>
          <w:p>
            <w:pPr>
              <w:jc w:val="center"/>
            </w:pPr>
            <w:r/>
            <w:r>
              <w:rPr>
                <w:b/>
                <w:color w:val="FFFFFF"/>
                <w:sz w:val="18"/>
              </w:rPr>
              <w:t>trades</w:t>
            </w:r>
          </w:p>
        </w:tc>
        <w:tc>
          <w:tcPr>
            <w:tcW w:type="dxa" w:w="1378"/>
            <w:shd w:val="clear" w:fill="1F3255"/>
          </w:tcPr>
          <w:p>
            <w:pPr>
              <w:jc w:val="center"/>
            </w:pPr>
            <w:r/>
            <w:r>
              <w:rPr>
                <w:b/>
                <w:color w:val="FFFFFF"/>
                <w:sz w:val="18"/>
              </w:rPr>
              <w:t>net tot%</w:t>
            </w:r>
          </w:p>
        </w:tc>
        <w:tc>
          <w:tcPr>
            <w:tcW w:type="dxa" w:w="1378"/>
            <w:shd w:val="clear" w:fill="1F3255"/>
          </w:tcPr>
          <w:p>
            <w:pPr>
              <w:jc w:val="center"/>
            </w:pPr>
            <w:r/>
            <w:r>
              <w:rPr>
                <w:b/>
                <w:color w:val="FFFFFF"/>
                <w:sz w:val="18"/>
              </w:rPr>
              <w:t>net Sh</w:t>
            </w:r>
          </w:p>
        </w:tc>
        <w:tc>
          <w:tcPr>
            <w:tcW w:type="dxa" w:w="1378"/>
            <w:shd w:val="clear" w:fill="1F3255"/>
          </w:tcPr>
          <w:p>
            <w:pPr>
              <w:jc w:val="center"/>
            </w:pPr>
            <w:r/>
            <w:r>
              <w:rPr>
                <w:b/>
                <w:color w:val="FFFFFF"/>
                <w:sz w:val="18"/>
              </w:rPr>
              <w:t>maxDD%</w:t>
            </w:r>
          </w:p>
        </w:tc>
        <w:tc>
          <w:tcPr>
            <w:tcW w:type="dxa" w:w="1378"/>
            <w:shd w:val="clear" w:fill="1F3255"/>
          </w:tcPr>
          <w:p>
            <w:pPr>
              <w:jc w:val="center"/>
            </w:pPr>
            <w:r/>
            <w:r>
              <w:rPr>
                <w:b/>
                <w:color w:val="FFFFFF"/>
                <w:sz w:val="18"/>
              </w:rPr>
              <w:t>turnover/yr</w:t>
            </w:r>
          </w:p>
        </w:tc>
      </w:tr>
      <w:tr>
        <w:tc>
          <w:tcPr>
            <w:tcW w:type="dxa" w:w="1378"/>
          </w:tcPr>
          <w:p>
            <w:pPr>
              <w:jc w:val="left"/>
            </w:pPr>
            <w:r/>
            <w:r>
              <w:rPr>
                <w:sz w:val="18"/>
              </w:rPr>
              <w:t>R0</w:t>
            </w:r>
          </w:p>
        </w:tc>
        <w:tc>
          <w:tcPr>
            <w:tcW w:type="dxa" w:w="1378"/>
          </w:tcPr>
          <w:p>
            <w:pPr>
              <w:jc w:val="center"/>
            </w:pPr>
            <w:r/>
            <w:r>
              <w:rPr>
                <w:sz w:val="18"/>
              </w:rPr>
              <w:t>none</w:t>
            </w:r>
          </w:p>
        </w:tc>
        <w:tc>
          <w:tcPr>
            <w:tcW w:type="dxa" w:w="1378"/>
          </w:tcPr>
          <w:p>
            <w:pPr>
              <w:jc w:val="center"/>
            </w:pPr>
            <w:r/>
            <w:r>
              <w:rPr>
                <w:sz w:val="18"/>
              </w:rPr>
              <w:t>198</w:t>
            </w:r>
          </w:p>
        </w:tc>
        <w:tc>
          <w:tcPr>
            <w:tcW w:type="dxa" w:w="1378"/>
          </w:tcPr>
          <w:p>
            <w:pPr>
              <w:jc w:val="center"/>
            </w:pPr>
            <w:r/>
            <w:r>
              <w:rPr>
                <w:sz w:val="18"/>
              </w:rPr>
              <w:t>214.02</w:t>
            </w:r>
          </w:p>
        </w:tc>
        <w:tc>
          <w:tcPr>
            <w:tcW w:type="dxa" w:w="1378"/>
          </w:tcPr>
          <w:p>
            <w:pPr>
              <w:jc w:val="center"/>
            </w:pPr>
            <w:r/>
            <w:r>
              <w:rPr>
                <w:sz w:val="18"/>
              </w:rPr>
              <w:t>1.08</w:t>
            </w:r>
          </w:p>
        </w:tc>
        <w:tc>
          <w:tcPr>
            <w:tcW w:type="dxa" w:w="1378"/>
          </w:tcPr>
          <w:p>
            <w:pPr>
              <w:jc w:val="center"/>
            </w:pPr>
            <w:r/>
            <w:r>
              <w:rPr>
                <w:sz w:val="18"/>
              </w:rPr>
              <w:t>-17.45</w:t>
            </w:r>
          </w:p>
        </w:tc>
        <w:tc>
          <w:tcPr>
            <w:tcW w:type="dxa" w:w="1378"/>
          </w:tcPr>
          <w:p>
            <w:pPr>
              <w:jc w:val="center"/>
            </w:pPr>
            <w:r/>
            <w:r>
              <w:rPr>
                <w:sz w:val="18"/>
              </w:rPr>
              <w:t>56.6</w:t>
            </w:r>
          </w:p>
        </w:tc>
      </w:tr>
      <w:tr>
        <w:tc>
          <w:tcPr>
            <w:tcW w:type="dxa" w:w="1378"/>
            <w:shd w:val="clear" w:fill="EEF2F8"/>
          </w:tcPr>
          <w:p>
            <w:pPr>
              <w:jc w:val="left"/>
            </w:pPr>
            <w:r/>
            <w:r>
              <w:rPr>
                <w:sz w:val="18"/>
              </w:rPr>
              <w:t>R1</w:t>
            </w:r>
          </w:p>
        </w:tc>
        <w:tc>
          <w:tcPr>
            <w:tcW w:type="dxa" w:w="1378"/>
            <w:shd w:val="clear" w:fill="EEF2F8"/>
          </w:tcPr>
          <w:p>
            <w:pPr>
              <w:jc w:val="center"/>
            </w:pPr>
            <w:r/>
            <w:r>
              <w:rPr>
                <w:sz w:val="18"/>
              </w:rPr>
              <w:t>none</w:t>
            </w:r>
          </w:p>
        </w:tc>
        <w:tc>
          <w:tcPr>
            <w:tcW w:type="dxa" w:w="1378"/>
            <w:shd w:val="clear" w:fill="EEF2F8"/>
          </w:tcPr>
          <w:p>
            <w:pPr>
              <w:jc w:val="center"/>
            </w:pPr>
            <w:r/>
            <w:r>
              <w:rPr>
                <w:sz w:val="18"/>
              </w:rPr>
              <w:t>198</w:t>
            </w:r>
          </w:p>
        </w:tc>
        <w:tc>
          <w:tcPr>
            <w:tcW w:type="dxa" w:w="1378"/>
            <w:shd w:val="clear" w:fill="EEF2F8"/>
          </w:tcPr>
          <w:p>
            <w:pPr>
              <w:jc w:val="center"/>
            </w:pPr>
            <w:r/>
            <w:r>
              <w:rPr>
                <w:sz w:val="18"/>
              </w:rPr>
              <w:t>-88.80</w:t>
            </w:r>
          </w:p>
        </w:tc>
        <w:tc>
          <w:tcPr>
            <w:tcW w:type="dxa" w:w="1378"/>
            <w:shd w:val="clear" w:fill="EEF2F8"/>
          </w:tcPr>
          <w:p>
            <w:pPr>
              <w:jc w:val="center"/>
            </w:pPr>
            <w:r/>
            <w:r>
              <w:rPr>
                <w:sz w:val="18"/>
              </w:rPr>
              <w:t>-0.10</w:t>
            </w:r>
          </w:p>
        </w:tc>
        <w:tc>
          <w:tcPr>
            <w:tcW w:type="dxa" w:w="1378"/>
            <w:shd w:val="clear" w:fill="EEF2F8"/>
          </w:tcPr>
          <w:p>
            <w:pPr>
              <w:jc w:val="center"/>
            </w:pPr>
            <w:r/>
            <w:r>
              <w:rPr>
                <w:sz w:val="18"/>
              </w:rPr>
              <w:t>-99.99</w:t>
            </w:r>
          </w:p>
        </w:tc>
        <w:tc>
          <w:tcPr>
            <w:tcW w:type="dxa" w:w="1378"/>
            <w:shd w:val="clear" w:fill="EEF2F8"/>
          </w:tcPr>
          <w:p>
            <w:pPr>
              <w:jc w:val="center"/>
            </w:pPr>
            <w:r/>
            <w:r>
              <w:rPr>
                <w:sz w:val="18"/>
              </w:rPr>
              <w:t>56.6</w:t>
            </w:r>
          </w:p>
        </w:tc>
      </w:tr>
      <w:tr>
        <w:tc>
          <w:tcPr>
            <w:tcW w:type="dxa" w:w="1378"/>
          </w:tcPr>
          <w:p>
            <w:pPr>
              <w:jc w:val="left"/>
            </w:pPr>
            <w:r/>
            <w:r>
              <w:rPr>
                <w:sz w:val="18"/>
              </w:rPr>
              <w:t>R2</w:t>
            </w:r>
          </w:p>
        </w:tc>
        <w:tc>
          <w:tcPr>
            <w:tcW w:type="dxa" w:w="1378"/>
          </w:tcPr>
          <w:p>
            <w:pPr>
              <w:jc w:val="center"/>
            </w:pPr>
            <w:r/>
            <w:r>
              <w:rPr>
                <w:sz w:val="18"/>
              </w:rPr>
              <w:t>none</w:t>
            </w:r>
          </w:p>
        </w:tc>
        <w:tc>
          <w:tcPr>
            <w:tcW w:type="dxa" w:w="1378"/>
          </w:tcPr>
          <w:p>
            <w:pPr>
              <w:jc w:val="center"/>
            </w:pPr>
            <w:r/>
            <w:r>
              <w:rPr>
                <w:sz w:val="18"/>
              </w:rPr>
              <w:t>198</w:t>
            </w:r>
          </w:p>
        </w:tc>
        <w:tc>
          <w:tcPr>
            <w:tcW w:type="dxa" w:w="1378"/>
          </w:tcPr>
          <w:p>
            <w:pPr>
              <w:jc w:val="center"/>
            </w:pPr>
            <w:r/>
            <w:r>
              <w:rPr>
                <w:sz w:val="18"/>
              </w:rPr>
              <w:t>14.34</w:t>
            </w:r>
          </w:p>
        </w:tc>
        <w:tc>
          <w:tcPr>
            <w:tcW w:type="dxa" w:w="1378"/>
          </w:tcPr>
          <w:p>
            <w:pPr>
              <w:jc w:val="center"/>
            </w:pPr>
            <w:r/>
            <w:r>
              <w:rPr>
                <w:sz w:val="18"/>
              </w:rPr>
              <w:t>0.25</w:t>
            </w:r>
          </w:p>
        </w:tc>
        <w:tc>
          <w:tcPr>
            <w:tcW w:type="dxa" w:w="1378"/>
          </w:tcPr>
          <w:p>
            <w:pPr>
              <w:jc w:val="center"/>
            </w:pPr>
            <w:r/>
            <w:r>
              <w:rPr>
                <w:sz w:val="18"/>
              </w:rPr>
              <w:t>-14.61</w:t>
            </w:r>
          </w:p>
        </w:tc>
        <w:tc>
          <w:tcPr>
            <w:tcW w:type="dxa" w:w="1378"/>
          </w:tcPr>
          <w:p>
            <w:pPr>
              <w:jc w:val="center"/>
            </w:pPr>
            <w:r/>
            <w:r>
              <w:rPr>
                <w:sz w:val="18"/>
              </w:rPr>
              <w:t>56.6</w:t>
            </w:r>
          </w:p>
        </w:tc>
      </w:tr>
      <w:tr>
        <w:tc>
          <w:tcPr>
            <w:tcW w:type="dxa" w:w="1378"/>
            <w:shd w:val="clear" w:fill="EEF2F8"/>
          </w:tcPr>
          <w:p>
            <w:pPr>
              <w:jc w:val="left"/>
            </w:pPr>
            <w:r/>
            <w:r>
              <w:rPr>
                <w:sz w:val="18"/>
              </w:rPr>
              <w:t>R3</w:t>
            </w:r>
          </w:p>
        </w:tc>
        <w:tc>
          <w:tcPr>
            <w:tcW w:type="dxa" w:w="1378"/>
            <w:shd w:val="clear" w:fill="EEF2F8"/>
          </w:tcPr>
          <w:p>
            <w:pPr>
              <w:jc w:val="center"/>
            </w:pPr>
            <w:r/>
            <w:r>
              <w:rPr>
                <w:sz w:val="18"/>
              </w:rPr>
              <w:t>none</w:t>
            </w:r>
          </w:p>
        </w:tc>
        <w:tc>
          <w:tcPr>
            <w:tcW w:type="dxa" w:w="1378"/>
            <w:shd w:val="clear" w:fill="EEF2F8"/>
          </w:tcPr>
          <w:p>
            <w:pPr>
              <w:jc w:val="center"/>
            </w:pPr>
            <w:r/>
            <w:r>
              <w:rPr>
                <w:sz w:val="18"/>
              </w:rPr>
              <w:t>94</w:t>
            </w:r>
          </w:p>
        </w:tc>
        <w:tc>
          <w:tcPr>
            <w:tcW w:type="dxa" w:w="1378"/>
            <w:shd w:val="clear" w:fill="EEF2F8"/>
          </w:tcPr>
          <w:p>
            <w:pPr>
              <w:jc w:val="center"/>
            </w:pPr>
            <w:r/>
            <w:r>
              <w:rPr>
                <w:sz w:val="18"/>
              </w:rPr>
              <w:t>9.95</w:t>
            </w:r>
          </w:p>
        </w:tc>
        <w:tc>
          <w:tcPr>
            <w:tcW w:type="dxa" w:w="1378"/>
            <w:shd w:val="clear" w:fill="EEF2F8"/>
          </w:tcPr>
          <w:p>
            <w:pPr>
              <w:jc w:val="center"/>
            </w:pPr>
            <w:r/>
            <w:r>
              <w:rPr>
                <w:sz w:val="18"/>
              </w:rPr>
              <w:t>0.92</w:t>
            </w:r>
          </w:p>
        </w:tc>
        <w:tc>
          <w:tcPr>
            <w:tcW w:type="dxa" w:w="1378"/>
            <w:shd w:val="clear" w:fill="EEF2F8"/>
          </w:tcPr>
          <w:p>
            <w:pPr>
              <w:jc w:val="center"/>
            </w:pPr>
            <w:r/>
            <w:r>
              <w:rPr>
                <w:sz w:val="18"/>
              </w:rPr>
              <w:t>-4.24</w:t>
            </w:r>
          </w:p>
        </w:tc>
        <w:tc>
          <w:tcPr>
            <w:tcW w:type="dxa" w:w="1378"/>
            <w:shd w:val="clear" w:fill="EEF2F8"/>
          </w:tcPr>
          <w:p>
            <w:pPr>
              <w:jc w:val="center"/>
            </w:pPr>
            <w:r/>
            <w:r>
              <w:rPr>
                <w:sz w:val="18"/>
              </w:rPr>
              <w:t>26.9</w:t>
            </w:r>
          </w:p>
        </w:tc>
      </w:tr>
      <w:tr>
        <w:tc>
          <w:tcPr>
            <w:tcW w:type="dxa" w:w="1378"/>
          </w:tcPr>
          <w:p>
            <w:pPr>
              <w:jc w:val="left"/>
            </w:pPr>
            <w:r/>
            <w:r>
              <w:rPr>
                <w:sz w:val="18"/>
              </w:rPr>
              <w:t>R4</w:t>
            </w:r>
          </w:p>
        </w:tc>
        <w:tc>
          <w:tcPr>
            <w:tcW w:type="dxa" w:w="1378"/>
          </w:tcPr>
          <w:p>
            <w:pPr>
              <w:jc w:val="center"/>
            </w:pPr>
            <w:r/>
            <w:r>
              <w:rPr>
                <w:sz w:val="18"/>
              </w:rPr>
              <w:t>relationship</w:t>
            </w:r>
          </w:p>
        </w:tc>
        <w:tc>
          <w:tcPr>
            <w:tcW w:type="dxa" w:w="1378"/>
          </w:tcPr>
          <w:p>
            <w:pPr>
              <w:jc w:val="center"/>
            </w:pPr>
            <w:r/>
            <w:r>
              <w:rPr>
                <w:sz w:val="18"/>
              </w:rPr>
              <w:t>82</w:t>
            </w:r>
          </w:p>
        </w:tc>
        <w:tc>
          <w:tcPr>
            <w:tcW w:type="dxa" w:w="1378"/>
          </w:tcPr>
          <w:p>
            <w:pPr>
              <w:jc w:val="center"/>
            </w:pPr>
            <w:r/>
            <w:r>
              <w:rPr>
                <w:sz w:val="18"/>
              </w:rPr>
              <w:t>8.69</w:t>
            </w:r>
          </w:p>
        </w:tc>
        <w:tc>
          <w:tcPr>
            <w:tcW w:type="dxa" w:w="1378"/>
          </w:tcPr>
          <w:p>
            <w:pPr>
              <w:jc w:val="center"/>
            </w:pPr>
            <w:r/>
            <w:r>
              <w:rPr>
                <w:sz w:val="18"/>
              </w:rPr>
              <w:t>0.89</w:t>
            </w:r>
          </w:p>
        </w:tc>
        <w:tc>
          <w:tcPr>
            <w:tcW w:type="dxa" w:w="1378"/>
          </w:tcPr>
          <w:p>
            <w:pPr>
              <w:jc w:val="center"/>
            </w:pPr>
            <w:r/>
            <w:r>
              <w:rPr>
                <w:sz w:val="18"/>
              </w:rPr>
              <w:t>-2.38</w:t>
            </w:r>
          </w:p>
        </w:tc>
        <w:tc>
          <w:tcPr>
            <w:tcW w:type="dxa" w:w="1378"/>
          </w:tcPr>
          <w:p>
            <w:pPr>
              <w:jc w:val="center"/>
            </w:pPr>
            <w:r/>
            <w:r>
              <w:rPr>
                <w:sz w:val="18"/>
              </w:rPr>
              <w:t>23.4</w:t>
            </w:r>
          </w:p>
        </w:tc>
      </w:tr>
    </w:tbl>
    <w:p>
      <w:pPr>
        <w:spacing w:after="60"/>
      </w:pPr>
      <w:r>
        <w:rPr>
          <w:b/>
          <w:color w:val="2E5A88"/>
          <w:sz w:val="18"/>
        </w:rPr>
        <w:t xml:space="preserve">Table 6. </w:t>
      </w:r>
      <w:r>
        <w:rPr>
          <w:i/>
          <w:color w:val="555555"/>
          <w:sz w:val="18"/>
        </w:rPr>
        <w:t>Volatility-matched comparison (reports/risk_managed_vol_matched.csv): the Sharpe tie (0.941 vs 0.930) that motivated rollback.</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255"/>
          </w:tcPr>
          <w:p>
            <w:pPr>
              <w:jc w:val="left"/>
            </w:pPr>
            <w:r/>
            <w:r>
              <w:rPr>
                <w:b/>
                <w:color w:val="FFFFFF"/>
                <w:sz w:val="18"/>
              </w:rPr>
              <w:t>rung</w:t>
            </w:r>
          </w:p>
        </w:tc>
        <w:tc>
          <w:tcPr>
            <w:tcW w:type="dxa" w:w="1608"/>
            <w:shd w:val="clear" w:fill="1F3255"/>
          </w:tcPr>
          <w:p>
            <w:pPr>
              <w:jc w:val="center"/>
            </w:pPr>
            <w:r/>
            <w:r>
              <w:rPr>
                <w:b/>
                <w:color w:val="FFFFFF"/>
                <w:sz w:val="18"/>
              </w:rPr>
              <w:t>raw vol%</w:t>
            </w:r>
          </w:p>
        </w:tc>
        <w:tc>
          <w:tcPr>
            <w:tcW w:type="dxa" w:w="1608"/>
            <w:shd w:val="clear" w:fill="1F3255"/>
          </w:tcPr>
          <w:p>
            <w:pPr>
              <w:jc w:val="center"/>
            </w:pPr>
            <w:r/>
            <w:r>
              <w:rPr>
                <w:b/>
                <w:color w:val="FFFFFF"/>
                <w:sz w:val="18"/>
              </w:rPr>
              <w:t>target vol%</w:t>
            </w:r>
          </w:p>
        </w:tc>
        <w:tc>
          <w:tcPr>
            <w:tcW w:type="dxa" w:w="1608"/>
            <w:shd w:val="clear" w:fill="1F3255"/>
          </w:tcPr>
          <w:p>
            <w:pPr>
              <w:jc w:val="center"/>
            </w:pPr>
            <w:r/>
            <w:r>
              <w:rPr>
                <w:b/>
                <w:color w:val="FFFFFF"/>
                <w:sz w:val="18"/>
              </w:rPr>
              <w:t>vt return%</w:t>
            </w:r>
          </w:p>
        </w:tc>
        <w:tc>
          <w:tcPr>
            <w:tcW w:type="dxa" w:w="1608"/>
            <w:shd w:val="clear" w:fill="1F3255"/>
          </w:tcPr>
          <w:p>
            <w:pPr>
              <w:jc w:val="center"/>
            </w:pPr>
            <w:r/>
            <w:r>
              <w:rPr>
                <w:b/>
                <w:color w:val="FFFFFF"/>
                <w:sz w:val="18"/>
              </w:rPr>
              <w:t>vt Sharpe</w:t>
            </w:r>
          </w:p>
        </w:tc>
        <w:tc>
          <w:tcPr>
            <w:tcW w:type="dxa" w:w="1608"/>
            <w:shd w:val="clear" w:fill="1F3255"/>
          </w:tcPr>
          <w:p>
            <w:pPr>
              <w:jc w:val="center"/>
            </w:pPr>
            <w:r/>
            <w:r>
              <w:rPr>
                <w:b/>
                <w:color w:val="FFFFFF"/>
                <w:sz w:val="18"/>
              </w:rPr>
              <w:t>vt maxDD%</w:t>
            </w:r>
          </w:p>
        </w:tc>
      </w:tr>
      <w:tr>
        <w:tc>
          <w:tcPr>
            <w:tcW w:type="dxa" w:w="1608"/>
          </w:tcPr>
          <w:p>
            <w:pPr>
              <w:jc w:val="left"/>
            </w:pPr>
            <w:r/>
            <w:r>
              <w:rPr>
                <w:sz w:val="18"/>
              </w:rPr>
              <w:t>R0</w:t>
            </w:r>
          </w:p>
        </w:tc>
        <w:tc>
          <w:tcPr>
            <w:tcW w:type="dxa" w:w="1608"/>
          </w:tcPr>
          <w:p>
            <w:pPr>
              <w:jc w:val="center"/>
            </w:pPr>
            <w:r/>
            <w:r>
              <w:rPr>
                <w:sz w:val="18"/>
              </w:rPr>
              <w:t>15.18</w:t>
            </w:r>
          </w:p>
        </w:tc>
        <w:tc>
          <w:tcPr>
            <w:tcW w:type="dxa" w:w="1608"/>
          </w:tcPr>
          <w:p>
            <w:pPr>
              <w:jc w:val="center"/>
            </w:pPr>
            <w:r/>
            <w:r>
              <w:rPr>
                <w:sz w:val="18"/>
              </w:rPr>
              <w:t>11.98</w:t>
            </w:r>
          </w:p>
        </w:tc>
        <w:tc>
          <w:tcPr>
            <w:tcW w:type="dxa" w:w="1608"/>
          </w:tcPr>
          <w:p>
            <w:pPr>
              <w:jc w:val="center"/>
            </w:pPr>
            <w:r/>
            <w:r>
              <w:rPr>
                <w:sz w:val="18"/>
              </w:rPr>
              <w:t>11.93</w:t>
            </w:r>
          </w:p>
        </w:tc>
        <w:tc>
          <w:tcPr>
            <w:tcW w:type="dxa" w:w="1608"/>
          </w:tcPr>
          <w:p>
            <w:pPr>
              <w:jc w:val="center"/>
            </w:pPr>
            <w:r/>
            <w:r>
              <w:rPr>
                <w:sz w:val="18"/>
              </w:rPr>
              <w:t>0.941</w:t>
            </w:r>
          </w:p>
        </w:tc>
        <w:tc>
          <w:tcPr>
            <w:tcW w:type="dxa" w:w="1608"/>
          </w:tcPr>
          <w:p>
            <w:pPr>
              <w:jc w:val="center"/>
            </w:pPr>
            <w:r/>
            <w:r>
              <w:rPr>
                <w:sz w:val="18"/>
              </w:rPr>
              <w:t>-18.57</w:t>
            </w:r>
          </w:p>
        </w:tc>
      </w:tr>
      <w:tr>
        <w:tc>
          <w:tcPr>
            <w:tcW w:type="dxa" w:w="1608"/>
            <w:shd w:val="clear" w:fill="EEF2F8"/>
          </w:tcPr>
          <w:p>
            <w:pPr>
              <w:jc w:val="left"/>
            </w:pPr>
            <w:r/>
            <w:r>
              <w:rPr>
                <w:sz w:val="18"/>
              </w:rPr>
              <w:t>R3</w:t>
            </w:r>
          </w:p>
        </w:tc>
        <w:tc>
          <w:tcPr>
            <w:tcW w:type="dxa" w:w="1608"/>
            <w:shd w:val="clear" w:fill="EEF2F8"/>
          </w:tcPr>
          <w:p>
            <w:pPr>
              <w:jc w:val="center"/>
            </w:pPr>
            <w:r/>
            <w:r>
              <w:rPr>
                <w:sz w:val="18"/>
              </w:rPr>
              <w:t>1.47</w:t>
            </w:r>
          </w:p>
        </w:tc>
        <w:tc>
          <w:tcPr>
            <w:tcW w:type="dxa" w:w="1608"/>
            <w:shd w:val="clear" w:fill="EEF2F8"/>
          </w:tcPr>
          <w:p>
            <w:pPr>
              <w:jc w:val="center"/>
            </w:pPr>
            <w:r/>
            <w:r>
              <w:rPr>
                <w:sz w:val="18"/>
              </w:rPr>
              <w:t>4.38</w:t>
            </w:r>
          </w:p>
        </w:tc>
        <w:tc>
          <w:tcPr>
            <w:tcW w:type="dxa" w:w="1608"/>
            <w:shd w:val="clear" w:fill="EEF2F8"/>
          </w:tcPr>
          <w:p>
            <w:pPr>
              <w:jc w:val="center"/>
            </w:pPr>
            <w:r/>
            <w:r>
              <w:rPr>
                <w:sz w:val="18"/>
              </w:rPr>
              <w:t>4.16</w:t>
            </w:r>
          </w:p>
        </w:tc>
        <w:tc>
          <w:tcPr>
            <w:tcW w:type="dxa" w:w="1608"/>
            <w:shd w:val="clear" w:fill="EEF2F8"/>
          </w:tcPr>
          <w:p>
            <w:pPr>
              <w:jc w:val="center"/>
            </w:pPr>
            <w:r/>
            <w:r>
              <w:rPr>
                <w:sz w:val="18"/>
              </w:rPr>
              <w:t>0.930</w:t>
            </w:r>
          </w:p>
        </w:tc>
        <w:tc>
          <w:tcPr>
            <w:tcW w:type="dxa" w:w="1608"/>
            <w:shd w:val="clear" w:fill="EEF2F8"/>
          </w:tcPr>
          <w:p>
            <w:pPr>
              <w:jc w:val="center"/>
            </w:pPr>
            <w:r/>
            <w:r>
              <w:rPr>
                <w:sz w:val="18"/>
              </w:rPr>
              <w:t>-12.19</w:t>
            </w:r>
          </w:p>
        </w:tc>
      </w:tr>
    </w:tbl>
    <w:p>
      <w:pPr>
        <w:spacing w:after="120"/>
      </w:pPr>
    </w:p>
    <w:p>
      <w:pPr>
        <w:jc w:val="center"/>
      </w:pPr>
    </w:p>
    <w:p>
      <w:pPr>
        <w:jc w:val="center"/>
      </w:pPr>
      <w:r>
        <w:drawing>
          <wp:inline xmlns:a="http://schemas.openxmlformats.org/drawingml/2006/main" xmlns:pic="http://schemas.openxmlformats.org/drawingml/2006/picture">
            <wp:extent cx="5303520" cy="2398016"/>
            <wp:docPr id="6" name="Picture 6"/>
            <wp:cNvGraphicFramePr>
              <a:graphicFrameLocks noChangeAspect="1"/>
            </wp:cNvGraphicFramePr>
            <a:graphic>
              <a:graphicData uri="http://schemas.openxmlformats.org/drawingml/2006/picture">
                <pic:pic>
                  <pic:nvPicPr>
                    <pic:cNvPr id="0" name="ladder_equity.png"/>
                    <pic:cNvPicPr/>
                  </pic:nvPicPr>
                  <pic:blipFill>
                    <a:blip r:embed="rId14"/>
                    <a:stretch>
                      <a:fillRect/>
                    </a:stretch>
                  </pic:blipFill>
                  <pic:spPr>
                    <a:xfrm>
                      <a:off x="0" y="0"/>
                      <a:ext cx="5303520" cy="2398016"/>
                    </a:xfrm>
                    <a:prstGeom prst="rect"/>
                  </pic:spPr>
                </pic:pic>
              </a:graphicData>
            </a:graphic>
          </wp:inline>
        </w:drawing>
      </w:r>
    </w:p>
    <w:p>
      <w:pPr>
        <w:spacing w:after="200"/>
        <w:jc w:val="center"/>
      </w:pPr>
      <w:r>
        <w:rPr>
          <w:b/>
          <w:color w:val="2E5A88"/>
          <w:sz w:val="18"/>
        </w:rPr>
        <w:t xml:space="preserve">Figure 6. </w:t>
      </w:r>
      <w:r>
        <w:rPr>
          <w:i/>
          <w:color w:val="555555"/>
          <w:sz w:val="18"/>
        </w:rPr>
        <w:t>Phase 2B ablation ladder equity (reverted experiment). The risk-controlled rungs compress both drawdown and return; the risk-adjusted ratio does not improve.</w:t>
      </w:r>
    </w:p>
    <w:p>
      <w:pPr>
        <w:pStyle w:val="Heading2"/>
      </w:pPr>
      <w:r>
        <w:rPr>
          <w:color w:val="1F3255"/>
        </w:rPr>
        <w:t>5.3  Phase 3 — intraday port and Regime-A infeasibility</w:t>
      </w:r>
    </w:p>
    <w:p>
      <w:pPr>
        <w:spacing w:after="120"/>
      </w:pPr>
      <w:r>
        <w:rPr>
          <w:b w:val="0"/>
          <w:i w:val="0"/>
          <w:sz w:val="21"/>
        </w:rPr>
        <w:t>Porting to intraday bars exposes two facts. First, naive intraday rolling-z is net-negative under any cost — at 1 bps the two-regime precursor runs net Sharpe −1.46 (Regime A) and −0.34 (Regime B), both underwater. Second, and structurally: every OU half-life lands in the multi-session band, so the intraday-square-off Regime A admits zero pairs. Daily-cointegrated NSE pairs simply do not mean-revert within a session; forcing an end-of-day flat closes trades before reversion completes. The 1-minute frequency additionally inflates half-life estimates via bid-ask bounce (a microstructure artefact), so 1-minute 'passes' are not cited as intraday-reversion evidence.</w:t>
      </w:r>
    </w:p>
    <w:p>
      <w:pPr>
        <w:jc w:val="center"/>
      </w:pPr>
    </w:p>
    <w:p>
      <w:pPr>
        <w:jc w:val="center"/>
      </w:pPr>
      <w: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equity_A_vs_B_3bps.png"/>
                    <pic:cNvPicPr/>
                  </pic:nvPicPr>
                  <pic:blipFill>
                    <a:blip r:embed="rId15"/>
                    <a:stretch>
                      <a:fillRect/>
                    </a:stretch>
                  </pic:blipFill>
                  <pic:spPr>
                    <a:xfrm>
                      <a:off x="0" y="0"/>
                      <a:ext cx="5120640" cy="2560320"/>
                    </a:xfrm>
                    <a:prstGeom prst="rect"/>
                  </pic:spPr>
                </pic:pic>
              </a:graphicData>
            </a:graphic>
          </wp:inline>
        </w:drawing>
      </w:r>
    </w:p>
    <w:p>
      <w:pPr>
        <w:spacing w:after="200"/>
        <w:jc w:val="center"/>
      </w:pPr>
      <w:r>
        <w:rPr>
          <w:b/>
          <w:color w:val="2E5A88"/>
          <w:sz w:val="18"/>
        </w:rPr>
        <w:t xml:space="preserve">Figure 7. </w:t>
      </w:r>
      <w:r>
        <w:rPr>
          <w:i/>
          <w:color w:val="555555"/>
          <w:sz w:val="18"/>
        </w:rPr>
        <w:t>Phase 3 intraday Regime A vs Regime B equity at 3 bps (scripts/14). Regime A (intraday square-off) is structurally starved of admissible pairs.</w:t>
      </w:r>
    </w:p>
    <w:p>
      <w:pPr>
        <w:jc w:val="center"/>
      </w:pPr>
    </w:p>
    <w:p>
      <w:pPr>
        <w:jc w:val="center"/>
      </w:pPr>
      <w:r>
        <w:drawing>
          <wp:inline xmlns:a="http://schemas.openxmlformats.org/drawingml/2006/main" xmlns:pic="http://schemas.openxmlformats.org/drawingml/2006/picture">
            <wp:extent cx="4754880" cy="2113280"/>
            <wp:docPr id="8" name="Picture 8"/>
            <wp:cNvGraphicFramePr>
              <a:graphicFrameLocks noChangeAspect="1"/>
            </wp:cNvGraphicFramePr>
            <a:graphic>
              <a:graphicData uri="http://schemas.openxmlformats.org/drawingml/2006/picture">
                <pic:pic>
                  <pic:nvPicPr>
                    <pic:cNvPr id="0" name="tod_vol_profile.png"/>
                    <pic:cNvPicPr/>
                  </pic:nvPicPr>
                  <pic:blipFill>
                    <a:blip r:embed="rId16"/>
                    <a:stretch>
                      <a:fillRect/>
                    </a:stretch>
                  </pic:blipFill>
                  <pic:spPr>
                    <a:xfrm>
                      <a:off x="0" y="0"/>
                      <a:ext cx="4754880" cy="2113280"/>
                    </a:xfrm>
                    <a:prstGeom prst="rect"/>
                  </pic:spPr>
                </pic:pic>
              </a:graphicData>
            </a:graphic>
          </wp:inline>
        </w:drawing>
      </w:r>
    </w:p>
    <w:p>
      <w:pPr>
        <w:spacing w:after="200"/>
        <w:jc w:val="center"/>
      </w:pPr>
      <w:r>
        <w:rPr>
          <w:b/>
          <w:color w:val="2E5A88"/>
          <w:sz w:val="18"/>
        </w:rPr>
        <w:t xml:space="preserve">Figure 8. </w:t>
      </w:r>
      <w:r>
        <w:rPr>
          <w:i/>
          <w:color w:val="555555"/>
          <w:sz w:val="18"/>
        </w:rPr>
        <w:t>Time-of-day volatility profile used for intraday normalisation — the U-shape removed before z-scoring.</w:t>
      </w:r>
    </w:p>
    <w:p>
      <w:pPr>
        <w:pStyle w:val="Heading2"/>
      </w:pPr>
      <w:r>
        <w:rPr>
          <w:color w:val="1F3255"/>
        </w:rPr>
        <w:t>5.4  Phase 3 — OU/Bertram engine and the matched universe</w:t>
      </w:r>
    </w:p>
    <w:p>
      <w:pPr>
        <w:spacing w:after="120"/>
      </w:pPr>
      <w:r>
        <w:rPr>
          <w:b w:val="0"/>
          <w:i w:val="0"/>
          <w:sz w:val="21"/>
        </w:rPr>
        <w:t>Applying the half-life band filter and Bertram thresholds reduces the intraday universe to two Regime-B survivors: INDUSINDBK/HDFCBANK (fold 4) and KOTAKBANK/HDFCBANK (fold 6). This is the matched universe on which all subsequent engine comparisons run. On it, the frozen-OU best cell (5-min, Regime B, 3 bps) is net-profitable and materially more cost-resilient than rolling-z.</w:t>
      </w:r>
    </w:p>
    <w:p>
      <w:pPr>
        <w:spacing w:after="60"/>
      </w:pPr>
      <w:r>
        <w:rPr>
          <w:b/>
          <w:color w:val="2E5A88"/>
          <w:sz w:val="18"/>
        </w:rPr>
        <w:t xml:space="preserve">Table 7. </w:t>
      </w:r>
      <w:r>
        <w:rPr>
          <w:i/>
          <w:color w:val="555555"/>
          <w:sz w:val="18"/>
        </w:rPr>
        <w:t>Matched-universe cost ladder, 5-min Regime B (reports/phase3_ou/figures/matched_universe/matched_metrics.csv). OU's net Sharpe decays gently with cost (0.98 → 0.93) while rolling-z collapses (0.95 → −0.11) and flips sign at 8 bps — the cost-amortisation property.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1F3255"/>
          </w:tcPr>
          <w:p>
            <w:pPr>
              <w:jc w:val="left"/>
            </w:pPr>
            <w:r/>
            <w:r>
              <w:rPr>
                <w:b/>
                <w:color w:val="FFFFFF"/>
                <w:sz w:val="18"/>
              </w:rPr>
              <w:t>engine</w:t>
            </w:r>
          </w:p>
        </w:tc>
        <w:tc>
          <w:tcPr>
            <w:tcW w:type="dxa" w:w="1378"/>
            <w:shd w:val="clear" w:fill="1F3255"/>
          </w:tcPr>
          <w:p>
            <w:pPr>
              <w:jc w:val="center"/>
            </w:pPr>
            <w:r/>
            <w:r>
              <w:rPr>
                <w:b/>
                <w:color w:val="FFFFFF"/>
                <w:sz w:val="18"/>
              </w:rPr>
              <w:t>cost</w:t>
            </w:r>
          </w:p>
        </w:tc>
        <w:tc>
          <w:tcPr>
            <w:tcW w:type="dxa" w:w="1378"/>
            <w:shd w:val="clear" w:fill="1F3255"/>
          </w:tcPr>
          <w:p>
            <w:pPr>
              <w:jc w:val="center"/>
            </w:pPr>
            <w:r/>
            <w:r>
              <w:rPr>
                <w:b/>
                <w:color w:val="FFFFFF"/>
                <w:sz w:val="18"/>
              </w:rPr>
              <w:t>trades</w:t>
            </w:r>
          </w:p>
        </w:tc>
        <w:tc>
          <w:tcPr>
            <w:tcW w:type="dxa" w:w="1378"/>
            <w:shd w:val="clear" w:fill="1F3255"/>
          </w:tcPr>
          <w:p>
            <w:pPr>
              <w:jc w:val="center"/>
            </w:pPr>
            <w:r/>
            <w:r>
              <w:rPr>
                <w:b/>
                <w:color w:val="FFFFFF"/>
                <w:sz w:val="18"/>
              </w:rPr>
              <w:t>gross tot%</w:t>
            </w:r>
          </w:p>
        </w:tc>
        <w:tc>
          <w:tcPr>
            <w:tcW w:type="dxa" w:w="1378"/>
            <w:shd w:val="clear" w:fill="1F3255"/>
          </w:tcPr>
          <w:p>
            <w:pPr>
              <w:jc w:val="center"/>
            </w:pPr>
            <w:r/>
            <w:r>
              <w:rPr>
                <w:b/>
                <w:color w:val="FFFFFF"/>
                <w:sz w:val="18"/>
              </w:rPr>
              <w:t>net tot%</w:t>
            </w:r>
          </w:p>
        </w:tc>
        <w:tc>
          <w:tcPr>
            <w:tcW w:type="dxa" w:w="1378"/>
            <w:shd w:val="clear" w:fill="1F3255"/>
          </w:tcPr>
          <w:p>
            <w:pPr>
              <w:jc w:val="center"/>
            </w:pPr>
            <w:r/>
            <w:r>
              <w:rPr>
                <w:b/>
                <w:color w:val="FFFFFF"/>
                <w:sz w:val="18"/>
              </w:rPr>
              <w:t>gross Sh</w:t>
            </w:r>
          </w:p>
        </w:tc>
        <w:tc>
          <w:tcPr>
            <w:tcW w:type="dxa" w:w="1378"/>
            <w:shd w:val="clear" w:fill="1F3255"/>
          </w:tcPr>
          <w:p>
            <w:pPr>
              <w:jc w:val="center"/>
            </w:pPr>
            <w:r/>
            <w:r>
              <w:rPr>
                <w:b/>
                <w:color w:val="FFFFFF"/>
                <w:sz w:val="18"/>
              </w:rPr>
              <w:t>net Sh</w:t>
            </w:r>
          </w:p>
        </w:tc>
      </w:tr>
      <w:tr>
        <w:tc>
          <w:tcPr>
            <w:tcW w:type="dxa" w:w="1378"/>
          </w:tcPr>
          <w:p>
            <w:pPr>
              <w:jc w:val="left"/>
            </w:pPr>
            <w:r/>
            <w:r>
              <w:rPr>
                <w:sz w:val="18"/>
              </w:rPr>
              <w:t>ou</w:t>
            </w:r>
          </w:p>
        </w:tc>
        <w:tc>
          <w:tcPr>
            <w:tcW w:type="dxa" w:w="1378"/>
          </w:tcPr>
          <w:p>
            <w:pPr>
              <w:jc w:val="center"/>
            </w:pPr>
            <w:r/>
            <w:r>
              <w:rPr>
                <w:sz w:val="18"/>
              </w:rPr>
              <w:t>1</w:t>
            </w:r>
          </w:p>
        </w:tc>
        <w:tc>
          <w:tcPr>
            <w:tcW w:type="dxa" w:w="1378"/>
          </w:tcPr>
          <w:p>
            <w:pPr>
              <w:jc w:val="center"/>
            </w:pPr>
            <w:r/>
            <w:r>
              <w:rPr>
                <w:sz w:val="18"/>
              </w:rPr>
              <w:t>36</w:t>
            </w:r>
          </w:p>
        </w:tc>
        <w:tc>
          <w:tcPr>
            <w:tcW w:type="dxa" w:w="1378"/>
          </w:tcPr>
          <w:p>
            <w:pPr>
              <w:jc w:val="center"/>
            </w:pPr>
            <w:r/>
            <w:r>
              <w:rPr>
                <w:sz w:val="18"/>
              </w:rPr>
              <w:t>54.98</w:t>
            </w:r>
          </w:p>
        </w:tc>
        <w:tc>
          <w:tcPr>
            <w:tcW w:type="dxa" w:w="1378"/>
          </w:tcPr>
          <w:p>
            <w:pPr>
              <w:jc w:val="center"/>
            </w:pPr>
            <w:r/>
            <w:r>
              <w:rPr>
                <w:sz w:val="18"/>
              </w:rPr>
              <w:t>48.27</w:t>
            </w:r>
          </w:p>
        </w:tc>
        <w:tc>
          <w:tcPr>
            <w:tcW w:type="dxa" w:w="1378"/>
          </w:tcPr>
          <w:p>
            <w:pPr>
              <w:jc w:val="center"/>
            </w:pPr>
            <w:r/>
            <w:r>
              <w:rPr>
                <w:sz w:val="18"/>
              </w:rPr>
              <w:t>1.083</w:t>
            </w:r>
          </w:p>
        </w:tc>
        <w:tc>
          <w:tcPr>
            <w:tcW w:type="dxa" w:w="1378"/>
          </w:tcPr>
          <w:p>
            <w:pPr>
              <w:jc w:val="center"/>
            </w:pPr>
            <w:r/>
            <w:r>
              <w:rPr>
                <w:sz w:val="18"/>
              </w:rPr>
              <w:t>0.981</w:t>
            </w:r>
          </w:p>
        </w:tc>
      </w:tr>
      <w:tr>
        <w:tc>
          <w:tcPr>
            <w:tcW w:type="dxa" w:w="1378"/>
            <w:shd w:val="clear" w:fill="EEF2F8"/>
          </w:tcPr>
          <w:p>
            <w:pPr>
              <w:jc w:val="left"/>
            </w:pPr>
            <w:r/>
            <w:r>
              <w:rPr>
                <w:sz w:val="18"/>
              </w:rPr>
              <w:t>ou</w:t>
            </w:r>
          </w:p>
        </w:tc>
        <w:tc>
          <w:tcPr>
            <w:tcW w:type="dxa" w:w="1378"/>
            <w:shd w:val="clear" w:fill="EEF2F8"/>
          </w:tcPr>
          <w:p>
            <w:pPr>
              <w:jc w:val="center"/>
            </w:pPr>
            <w:r/>
            <w:r>
              <w:rPr>
                <w:sz w:val="18"/>
              </w:rPr>
              <w:t>3</w:t>
            </w:r>
          </w:p>
        </w:tc>
        <w:tc>
          <w:tcPr>
            <w:tcW w:type="dxa" w:w="1378"/>
            <w:shd w:val="clear" w:fill="EEF2F8"/>
          </w:tcPr>
          <w:p>
            <w:pPr>
              <w:jc w:val="center"/>
            </w:pPr>
            <w:r/>
            <w:r>
              <w:rPr>
                <w:sz w:val="18"/>
              </w:rPr>
              <w:t>34</w:t>
            </w:r>
          </w:p>
        </w:tc>
        <w:tc>
          <w:tcPr>
            <w:tcW w:type="dxa" w:w="1378"/>
            <w:shd w:val="clear" w:fill="EEF2F8"/>
          </w:tcPr>
          <w:p>
            <w:pPr>
              <w:jc w:val="center"/>
            </w:pPr>
            <w:r/>
            <w:r>
              <w:rPr>
                <w:sz w:val="18"/>
              </w:rPr>
              <w:t>54.87</w:t>
            </w:r>
          </w:p>
        </w:tc>
        <w:tc>
          <w:tcPr>
            <w:tcW w:type="dxa" w:w="1378"/>
            <w:shd w:val="clear" w:fill="EEF2F8"/>
          </w:tcPr>
          <w:p>
            <w:pPr>
              <w:jc w:val="center"/>
            </w:pPr>
            <w:r/>
            <w:r>
              <w:rPr>
                <w:sz w:val="18"/>
              </w:rPr>
              <w:t>46.20</w:t>
            </w:r>
          </w:p>
        </w:tc>
        <w:tc>
          <w:tcPr>
            <w:tcW w:type="dxa" w:w="1378"/>
            <w:shd w:val="clear" w:fill="EEF2F8"/>
          </w:tcPr>
          <w:p>
            <w:pPr>
              <w:jc w:val="center"/>
            </w:pPr>
            <w:r/>
            <w:r>
              <w:rPr>
                <w:sz w:val="18"/>
              </w:rPr>
              <w:t>1.083</w:t>
            </w:r>
          </w:p>
        </w:tc>
        <w:tc>
          <w:tcPr>
            <w:tcW w:type="dxa" w:w="1378"/>
            <w:shd w:val="clear" w:fill="EEF2F8"/>
          </w:tcPr>
          <w:p>
            <w:pPr>
              <w:jc w:val="center"/>
            </w:pPr>
            <w:r/>
            <w:r>
              <w:rPr>
                <w:sz w:val="18"/>
              </w:rPr>
              <w:t>0.949</w:t>
            </w:r>
          </w:p>
        </w:tc>
      </w:tr>
      <w:tr>
        <w:tc>
          <w:tcPr>
            <w:tcW w:type="dxa" w:w="1378"/>
          </w:tcPr>
          <w:p>
            <w:pPr>
              <w:jc w:val="left"/>
            </w:pPr>
            <w:r/>
            <w:r>
              <w:rPr>
                <w:sz w:val="18"/>
              </w:rPr>
              <w:t>ou</w:t>
            </w:r>
          </w:p>
        </w:tc>
        <w:tc>
          <w:tcPr>
            <w:tcW w:type="dxa" w:w="1378"/>
          </w:tcPr>
          <w:p>
            <w:pPr>
              <w:jc w:val="center"/>
            </w:pPr>
            <w:r/>
            <w:r>
              <w:rPr>
                <w:sz w:val="18"/>
              </w:rPr>
              <w:t>5</w:t>
            </w:r>
          </w:p>
        </w:tc>
        <w:tc>
          <w:tcPr>
            <w:tcW w:type="dxa" w:w="1378"/>
          </w:tcPr>
          <w:p>
            <w:pPr>
              <w:jc w:val="center"/>
            </w:pPr>
            <w:r/>
            <w:r>
              <w:rPr>
                <w:sz w:val="18"/>
              </w:rPr>
              <w:t>32</w:t>
            </w:r>
          </w:p>
        </w:tc>
        <w:tc>
          <w:tcPr>
            <w:tcW w:type="dxa" w:w="1378"/>
          </w:tcPr>
          <w:p>
            <w:pPr>
              <w:jc w:val="center"/>
            </w:pPr>
            <w:r/>
            <w:r>
              <w:rPr>
                <w:sz w:val="18"/>
              </w:rPr>
              <w:t>53.34</w:t>
            </w:r>
          </w:p>
        </w:tc>
        <w:tc>
          <w:tcPr>
            <w:tcW w:type="dxa" w:w="1378"/>
          </w:tcPr>
          <w:p>
            <w:pPr>
              <w:jc w:val="center"/>
            </w:pPr>
            <w:r/>
            <w:r>
              <w:rPr>
                <w:sz w:val="18"/>
              </w:rPr>
              <w:t>43.17</w:t>
            </w:r>
          </w:p>
        </w:tc>
        <w:tc>
          <w:tcPr>
            <w:tcW w:type="dxa" w:w="1378"/>
          </w:tcPr>
          <w:p>
            <w:pPr>
              <w:jc w:val="center"/>
            </w:pPr>
            <w:r/>
            <w:r>
              <w:rPr>
                <w:sz w:val="18"/>
              </w:rPr>
              <w:t>1.065</w:t>
            </w:r>
          </w:p>
        </w:tc>
        <w:tc>
          <w:tcPr>
            <w:tcW w:type="dxa" w:w="1378"/>
          </w:tcPr>
          <w:p>
            <w:pPr>
              <w:jc w:val="center"/>
            </w:pPr>
            <w:r/>
            <w:r>
              <w:rPr>
                <w:sz w:val="18"/>
              </w:rPr>
              <w:t>0.905</w:t>
            </w:r>
          </w:p>
        </w:tc>
      </w:tr>
      <w:tr>
        <w:tc>
          <w:tcPr>
            <w:tcW w:type="dxa" w:w="1378"/>
            <w:shd w:val="clear" w:fill="EEF2F8"/>
          </w:tcPr>
          <w:p>
            <w:pPr>
              <w:jc w:val="left"/>
            </w:pPr>
            <w:r/>
            <w:r>
              <w:rPr>
                <w:sz w:val="18"/>
              </w:rPr>
              <w:t>ou</w:t>
            </w:r>
          </w:p>
        </w:tc>
        <w:tc>
          <w:tcPr>
            <w:tcW w:type="dxa" w:w="1378"/>
            <w:shd w:val="clear" w:fill="EEF2F8"/>
          </w:tcPr>
          <w:p>
            <w:pPr>
              <w:jc w:val="center"/>
            </w:pPr>
            <w:r/>
            <w:r>
              <w:rPr>
                <w:sz w:val="18"/>
              </w:rPr>
              <w:t>8</w:t>
            </w:r>
          </w:p>
        </w:tc>
        <w:tc>
          <w:tcPr>
            <w:tcW w:type="dxa" w:w="1378"/>
            <w:shd w:val="clear" w:fill="EEF2F8"/>
          </w:tcPr>
          <w:p>
            <w:pPr>
              <w:jc w:val="center"/>
            </w:pPr>
            <w:r/>
            <w:r>
              <w:rPr>
                <w:sz w:val="18"/>
              </w:rPr>
              <w:t>30</w:t>
            </w:r>
          </w:p>
        </w:tc>
        <w:tc>
          <w:tcPr>
            <w:tcW w:type="dxa" w:w="1378"/>
            <w:shd w:val="clear" w:fill="EEF2F8"/>
          </w:tcPr>
          <w:p>
            <w:pPr>
              <w:jc w:val="center"/>
            </w:pPr>
            <w:r/>
            <w:r>
              <w:rPr>
                <w:sz w:val="18"/>
              </w:rPr>
              <w:t>57.17</w:t>
            </w:r>
          </w:p>
        </w:tc>
        <w:tc>
          <w:tcPr>
            <w:tcW w:type="dxa" w:w="1378"/>
            <w:shd w:val="clear" w:fill="EEF2F8"/>
          </w:tcPr>
          <w:p>
            <w:pPr>
              <w:jc w:val="center"/>
            </w:pPr>
            <w:r/>
            <w:r>
              <w:rPr>
                <w:sz w:val="18"/>
              </w:rPr>
              <w:t>44.28</w:t>
            </w:r>
          </w:p>
        </w:tc>
        <w:tc>
          <w:tcPr>
            <w:tcW w:type="dxa" w:w="1378"/>
            <w:shd w:val="clear" w:fill="EEF2F8"/>
          </w:tcPr>
          <w:p>
            <w:pPr>
              <w:jc w:val="center"/>
            </w:pPr>
            <w:r/>
            <w:r>
              <w:rPr>
                <w:sz w:val="18"/>
              </w:rPr>
              <w:t>1.135</w:t>
            </w:r>
          </w:p>
        </w:tc>
        <w:tc>
          <w:tcPr>
            <w:tcW w:type="dxa" w:w="1378"/>
            <w:shd w:val="clear" w:fill="EEF2F8"/>
          </w:tcPr>
          <w:p>
            <w:pPr>
              <w:jc w:val="center"/>
            </w:pPr>
            <w:r/>
            <w:r>
              <w:rPr>
                <w:sz w:val="18"/>
              </w:rPr>
              <w:t>0.935</w:t>
            </w:r>
          </w:p>
        </w:tc>
      </w:tr>
      <w:tr>
        <w:tc>
          <w:tcPr>
            <w:tcW w:type="dxa" w:w="1378"/>
          </w:tcPr>
          <w:p>
            <w:pPr>
              <w:jc w:val="left"/>
            </w:pPr>
            <w:r/>
            <w:r>
              <w:rPr>
                <w:sz w:val="18"/>
              </w:rPr>
              <w:t>rolling_z</w:t>
            </w:r>
          </w:p>
        </w:tc>
        <w:tc>
          <w:tcPr>
            <w:tcW w:type="dxa" w:w="1378"/>
          </w:tcPr>
          <w:p>
            <w:pPr>
              <w:jc w:val="center"/>
            </w:pPr>
            <w:r/>
            <w:r>
              <w:rPr>
                <w:sz w:val="18"/>
              </w:rPr>
              <w:t>1</w:t>
            </w:r>
          </w:p>
        </w:tc>
        <w:tc>
          <w:tcPr>
            <w:tcW w:type="dxa" w:w="1378"/>
          </w:tcPr>
          <w:p>
            <w:pPr>
              <w:jc w:val="center"/>
            </w:pPr>
            <w:r/>
            <w:r>
              <w:rPr>
                <w:sz w:val="18"/>
              </w:rPr>
              <w:t>225</w:t>
            </w:r>
          </w:p>
        </w:tc>
        <w:tc>
          <w:tcPr>
            <w:tcW w:type="dxa" w:w="1378"/>
          </w:tcPr>
          <w:p>
            <w:pPr>
              <w:jc w:val="center"/>
            </w:pPr>
            <w:r/>
            <w:r>
              <w:rPr>
                <w:sz w:val="18"/>
              </w:rPr>
              <w:t>82.16</w:t>
            </w:r>
          </w:p>
        </w:tc>
        <w:tc>
          <w:tcPr>
            <w:tcW w:type="dxa" w:w="1378"/>
          </w:tcPr>
          <w:p>
            <w:pPr>
              <w:jc w:val="center"/>
            </w:pPr>
            <w:r/>
            <w:r>
              <w:rPr>
                <w:sz w:val="18"/>
              </w:rPr>
              <w:t>37.67</w:t>
            </w:r>
          </w:p>
        </w:tc>
        <w:tc>
          <w:tcPr>
            <w:tcW w:type="dxa" w:w="1378"/>
          </w:tcPr>
          <w:p>
            <w:pPr>
              <w:jc w:val="center"/>
            </w:pPr>
            <w:r/>
            <w:r>
              <w:rPr>
                <w:sz w:val="18"/>
              </w:rPr>
              <w:t>1.759</w:t>
            </w:r>
          </w:p>
        </w:tc>
        <w:tc>
          <w:tcPr>
            <w:tcW w:type="dxa" w:w="1378"/>
          </w:tcPr>
          <w:p>
            <w:pPr>
              <w:jc w:val="center"/>
            </w:pPr>
            <w:r/>
            <w:r>
              <w:rPr>
                <w:sz w:val="18"/>
              </w:rPr>
              <w:t>0.945</w:t>
            </w:r>
          </w:p>
        </w:tc>
      </w:tr>
      <w:tr>
        <w:tc>
          <w:tcPr>
            <w:tcW w:type="dxa" w:w="1378"/>
            <w:shd w:val="clear" w:fill="EEF2F8"/>
          </w:tcPr>
          <w:p>
            <w:pPr>
              <w:jc w:val="left"/>
            </w:pPr>
            <w:r/>
            <w:r>
              <w:rPr>
                <w:sz w:val="18"/>
              </w:rPr>
              <w:t>rolling_z</w:t>
            </w:r>
          </w:p>
        </w:tc>
        <w:tc>
          <w:tcPr>
            <w:tcW w:type="dxa" w:w="1378"/>
            <w:shd w:val="clear" w:fill="EEF2F8"/>
          </w:tcPr>
          <w:p>
            <w:pPr>
              <w:jc w:val="center"/>
            </w:pPr>
            <w:r/>
            <w:r>
              <w:rPr>
                <w:sz w:val="18"/>
              </w:rPr>
              <w:t>3</w:t>
            </w:r>
          </w:p>
        </w:tc>
        <w:tc>
          <w:tcPr>
            <w:tcW w:type="dxa" w:w="1378"/>
            <w:shd w:val="clear" w:fill="EEF2F8"/>
          </w:tcPr>
          <w:p>
            <w:pPr>
              <w:jc w:val="center"/>
            </w:pPr>
            <w:r/>
            <w:r>
              <w:rPr>
                <w:sz w:val="18"/>
              </w:rPr>
              <w:t>225</w:t>
            </w:r>
          </w:p>
        </w:tc>
        <w:tc>
          <w:tcPr>
            <w:tcW w:type="dxa" w:w="1378"/>
            <w:shd w:val="clear" w:fill="EEF2F8"/>
          </w:tcPr>
          <w:p>
            <w:pPr>
              <w:jc w:val="center"/>
            </w:pPr>
            <w:r/>
            <w:r>
              <w:rPr>
                <w:sz w:val="18"/>
              </w:rPr>
              <w:t>82.16</w:t>
            </w:r>
          </w:p>
        </w:tc>
        <w:tc>
          <w:tcPr>
            <w:tcW w:type="dxa" w:w="1378"/>
            <w:shd w:val="clear" w:fill="EEF2F8"/>
          </w:tcPr>
          <w:p>
            <w:pPr>
              <w:jc w:val="center"/>
            </w:pPr>
            <w:r/>
            <w:r>
              <w:rPr>
                <w:sz w:val="18"/>
              </w:rPr>
              <w:t>24.34</w:t>
            </w:r>
          </w:p>
        </w:tc>
        <w:tc>
          <w:tcPr>
            <w:tcW w:type="dxa" w:w="1378"/>
            <w:shd w:val="clear" w:fill="EEF2F8"/>
          </w:tcPr>
          <w:p>
            <w:pPr>
              <w:jc w:val="center"/>
            </w:pPr>
            <w:r/>
            <w:r>
              <w:rPr>
                <w:sz w:val="18"/>
              </w:rPr>
              <w:t>1.759</w:t>
            </w:r>
          </w:p>
        </w:tc>
        <w:tc>
          <w:tcPr>
            <w:tcW w:type="dxa" w:w="1378"/>
            <w:shd w:val="clear" w:fill="EEF2F8"/>
          </w:tcPr>
          <w:p>
            <w:pPr>
              <w:jc w:val="center"/>
            </w:pPr>
            <w:r/>
            <w:r>
              <w:rPr>
                <w:sz w:val="18"/>
              </w:rPr>
              <w:t>0.643</w:t>
            </w:r>
          </w:p>
        </w:tc>
      </w:tr>
      <w:tr>
        <w:tc>
          <w:tcPr>
            <w:tcW w:type="dxa" w:w="1378"/>
          </w:tcPr>
          <w:p>
            <w:pPr>
              <w:jc w:val="left"/>
            </w:pPr>
            <w:r/>
            <w:r>
              <w:rPr>
                <w:sz w:val="18"/>
              </w:rPr>
              <w:t>rolling_z</w:t>
            </w:r>
          </w:p>
        </w:tc>
        <w:tc>
          <w:tcPr>
            <w:tcW w:type="dxa" w:w="1378"/>
          </w:tcPr>
          <w:p>
            <w:pPr>
              <w:jc w:val="center"/>
            </w:pPr>
            <w:r/>
            <w:r>
              <w:rPr>
                <w:sz w:val="18"/>
              </w:rPr>
              <w:t>5</w:t>
            </w:r>
          </w:p>
        </w:tc>
        <w:tc>
          <w:tcPr>
            <w:tcW w:type="dxa" w:w="1378"/>
          </w:tcPr>
          <w:p>
            <w:pPr>
              <w:jc w:val="center"/>
            </w:pPr>
            <w:r/>
            <w:r>
              <w:rPr>
                <w:sz w:val="18"/>
              </w:rPr>
              <w:t>225</w:t>
            </w:r>
          </w:p>
        </w:tc>
        <w:tc>
          <w:tcPr>
            <w:tcW w:type="dxa" w:w="1378"/>
          </w:tcPr>
          <w:p>
            <w:pPr>
              <w:jc w:val="center"/>
            </w:pPr>
            <w:r/>
            <w:r>
              <w:rPr>
                <w:sz w:val="18"/>
              </w:rPr>
              <w:t>82.16</w:t>
            </w:r>
          </w:p>
        </w:tc>
        <w:tc>
          <w:tcPr>
            <w:tcW w:type="dxa" w:w="1378"/>
          </w:tcPr>
          <w:p>
            <w:pPr>
              <w:jc w:val="center"/>
            </w:pPr>
            <w:r/>
            <w:r>
              <w:rPr>
                <w:sz w:val="18"/>
              </w:rPr>
              <w:t>12.30</w:t>
            </w:r>
          </w:p>
        </w:tc>
        <w:tc>
          <w:tcPr>
            <w:tcW w:type="dxa" w:w="1378"/>
          </w:tcPr>
          <w:p>
            <w:pPr>
              <w:jc w:val="center"/>
            </w:pPr>
            <w:r/>
            <w:r>
              <w:rPr>
                <w:sz w:val="18"/>
              </w:rPr>
              <w:t>1.759</w:t>
            </w:r>
          </w:p>
        </w:tc>
        <w:tc>
          <w:tcPr>
            <w:tcW w:type="dxa" w:w="1378"/>
          </w:tcPr>
          <w:p>
            <w:pPr>
              <w:jc w:val="center"/>
            </w:pPr>
            <w:r/>
            <w:r>
              <w:rPr>
                <w:sz w:val="18"/>
              </w:rPr>
              <w:t>0.341</w:t>
            </w:r>
          </w:p>
        </w:tc>
      </w:tr>
      <w:tr>
        <w:tc>
          <w:tcPr>
            <w:tcW w:type="dxa" w:w="1378"/>
            <w:shd w:val="clear" w:fill="EEF2F8"/>
          </w:tcPr>
          <w:p>
            <w:pPr>
              <w:jc w:val="left"/>
            </w:pPr>
            <w:r/>
            <w:r>
              <w:rPr>
                <w:sz w:val="18"/>
              </w:rPr>
              <w:t>rolling_z</w:t>
            </w:r>
          </w:p>
        </w:tc>
        <w:tc>
          <w:tcPr>
            <w:tcW w:type="dxa" w:w="1378"/>
            <w:shd w:val="clear" w:fill="EEF2F8"/>
          </w:tcPr>
          <w:p>
            <w:pPr>
              <w:jc w:val="center"/>
            </w:pPr>
            <w:r/>
            <w:r>
              <w:rPr>
                <w:sz w:val="18"/>
              </w:rPr>
              <w:t>8</w:t>
            </w:r>
          </w:p>
        </w:tc>
        <w:tc>
          <w:tcPr>
            <w:tcW w:type="dxa" w:w="1378"/>
            <w:shd w:val="clear" w:fill="EEF2F8"/>
          </w:tcPr>
          <w:p>
            <w:pPr>
              <w:jc w:val="center"/>
            </w:pPr>
            <w:r/>
            <w:r>
              <w:rPr>
                <w:sz w:val="18"/>
              </w:rPr>
              <w:t>225</w:t>
            </w:r>
          </w:p>
        </w:tc>
        <w:tc>
          <w:tcPr>
            <w:tcW w:type="dxa" w:w="1378"/>
            <w:shd w:val="clear" w:fill="EEF2F8"/>
          </w:tcPr>
          <w:p>
            <w:pPr>
              <w:jc w:val="center"/>
            </w:pPr>
            <w:r/>
            <w:r>
              <w:rPr>
                <w:sz w:val="18"/>
              </w:rPr>
              <w:t>82.16</w:t>
            </w:r>
          </w:p>
        </w:tc>
        <w:tc>
          <w:tcPr>
            <w:tcW w:type="dxa" w:w="1378"/>
            <w:shd w:val="clear" w:fill="EEF2F8"/>
          </w:tcPr>
          <w:p>
            <w:pPr>
              <w:jc w:val="center"/>
            </w:pPr>
            <w:r/>
            <w:r>
              <w:rPr>
                <w:sz w:val="18"/>
              </w:rPr>
              <w:t>-3.60</w:t>
            </w:r>
          </w:p>
        </w:tc>
        <w:tc>
          <w:tcPr>
            <w:tcW w:type="dxa" w:w="1378"/>
            <w:shd w:val="clear" w:fill="EEF2F8"/>
          </w:tcPr>
          <w:p>
            <w:pPr>
              <w:jc w:val="center"/>
            </w:pPr>
            <w:r/>
            <w:r>
              <w:rPr>
                <w:sz w:val="18"/>
              </w:rPr>
              <w:t>1.759</w:t>
            </w:r>
          </w:p>
        </w:tc>
        <w:tc>
          <w:tcPr>
            <w:tcW w:type="dxa" w:w="1378"/>
            <w:shd w:val="clear" w:fill="EEF2F8"/>
          </w:tcPr>
          <w:p>
            <w:pPr>
              <w:jc w:val="center"/>
            </w:pPr>
            <w:r/>
            <w:r>
              <w:rPr>
                <w:sz w:val="18"/>
              </w:rPr>
              <w:t>-0.107</w:t>
            </w:r>
          </w:p>
        </w:tc>
      </w:tr>
    </w:tbl>
    <w:p>
      <w:pPr>
        <w:spacing w:after="120"/>
      </w:pPr>
    </w:p>
    <w:p>
      <w:pPr>
        <w:spacing w:after="120"/>
      </w:pPr>
      <w:r>
        <w:rPr>
          <w:b/>
          <w:i w:val="0"/>
          <w:sz w:val="21"/>
        </w:rPr>
        <w:t xml:space="preserve">Canonical frozen-OU best cell: </w:t>
      </w:r>
      <w:r>
        <w:rPr>
          <w:b w:val="0"/>
          <w:i w:val="0"/>
          <w:sz w:val="21"/>
        </w:rPr>
        <w:t xml:space="preserve">net annualised 20.915%, net Sharpe 0.949, net total 46.20%, max drawdown −22.54%, 34 trades (reports/phase3_ou/metrics_ou.csv). </w:t>
      </w:r>
      <w:r>
        <w:rPr>
          <w:b w:val="0"/>
          <w:i/>
          <w:sz w:val="21"/>
        </w:rPr>
        <w:t>The (1+β) re-billing decomposes the change from the legacy convention exactly: A {old a*, old bill} = 21.241 → B {old a*, new bill} = 20.844 (billing −0.398) → C {new a*, new bill} = 20.915 (refit +0.071), total −0.326 pp.</w:t>
      </w:r>
    </w:p>
    <w:p>
      <w:pPr>
        <w:jc w:val="center"/>
      </w:pPr>
    </w:p>
    <w:p>
      <w:pPr>
        <w:jc w:val="center"/>
      </w:pPr>
      <w:r>
        <w:drawing>
          <wp:inline xmlns:a="http://schemas.openxmlformats.org/drawingml/2006/main" xmlns:pic="http://schemas.openxmlformats.org/drawingml/2006/picture">
            <wp:extent cx="5120640" cy="2239830"/>
            <wp:docPr id="9" name="Picture 9"/>
            <wp:cNvGraphicFramePr>
              <a:graphicFrameLocks noChangeAspect="1"/>
            </wp:cNvGraphicFramePr>
            <a:graphic>
              <a:graphicData uri="http://schemas.openxmlformats.org/drawingml/2006/picture">
                <pic:pic>
                  <pic:nvPicPr>
                    <pic:cNvPr id="0" name="b_ou_best_portfolio_nav.png"/>
                    <pic:cNvPicPr/>
                  </pic:nvPicPr>
                  <pic:blipFill>
                    <a:blip r:embed="rId17"/>
                    <a:stretch>
                      <a:fillRect/>
                    </a:stretch>
                  </pic:blipFill>
                  <pic:spPr>
                    <a:xfrm>
                      <a:off x="0" y="0"/>
                      <a:ext cx="5120640" cy="2239830"/>
                    </a:xfrm>
                    <a:prstGeom prst="rect"/>
                  </pic:spPr>
                </pic:pic>
              </a:graphicData>
            </a:graphic>
          </wp:inline>
        </w:drawing>
      </w:r>
    </w:p>
    <w:p>
      <w:pPr>
        <w:spacing w:after="200"/>
        <w:jc w:val="center"/>
      </w:pPr>
      <w:r>
        <w:rPr>
          <w:b/>
          <w:color w:val="2E5A88"/>
          <w:sz w:val="18"/>
        </w:rPr>
        <w:t xml:space="preserve">Figure 9. </w:t>
      </w:r>
      <w:r>
        <w:rPr>
          <w:i/>
          <w:color w:val="555555"/>
          <w:sz w:val="18"/>
        </w:rPr>
        <w:t>OU best-cell portfolio NAV, gross vs net (reports/phase3_ou/figures/ou_best_cell).</w:t>
      </w:r>
    </w:p>
    <w:p>
      <w:pPr>
        <w:jc w:val="center"/>
      </w:pPr>
    </w:p>
    <w:p>
      <w:pPr>
        <w:jc w:val="center"/>
      </w:pPr>
      <w:r>
        <w:drawing>
          <wp:inline xmlns:a="http://schemas.openxmlformats.org/drawingml/2006/main" xmlns:pic="http://schemas.openxmlformats.org/drawingml/2006/picture">
            <wp:extent cx="5303520" cy="1984629"/>
            <wp:docPr id="10" name="Picture 10"/>
            <wp:cNvGraphicFramePr>
              <a:graphicFrameLocks noChangeAspect="1"/>
            </wp:cNvGraphicFramePr>
            <a:graphic>
              <a:graphicData uri="http://schemas.openxmlformats.org/drawingml/2006/picture">
                <pic:pic>
                  <pic:nvPicPr>
                    <pic:cNvPr id="0" name="d_cost_ladder_f5_B.png"/>
                    <pic:cNvPicPr/>
                  </pic:nvPicPr>
                  <pic:blipFill>
                    <a:blip r:embed="rId18"/>
                    <a:stretch>
                      <a:fillRect/>
                    </a:stretch>
                  </pic:blipFill>
                  <pic:spPr>
                    <a:xfrm>
                      <a:off x="0" y="0"/>
                      <a:ext cx="5303520" cy="1984629"/>
                    </a:xfrm>
                    <a:prstGeom prst="rect"/>
                  </pic:spPr>
                </pic:pic>
              </a:graphicData>
            </a:graphic>
          </wp:inline>
        </w:drawing>
      </w:r>
    </w:p>
    <w:p>
      <w:pPr>
        <w:spacing w:after="200"/>
        <w:jc w:val="center"/>
      </w:pPr>
      <w:r>
        <w:rPr>
          <w:b/>
          <w:color w:val="2E5A88"/>
          <w:sz w:val="18"/>
        </w:rPr>
        <w:t xml:space="preserve">Figure 10. </w:t>
      </w:r>
      <w:r>
        <w:rPr>
          <w:i/>
          <w:color w:val="555555"/>
          <w:sz w:val="18"/>
        </w:rPr>
        <w:t>Cost ladder, 5-min Regime B: OU vs rolling-z net Sharpe and net total return vs cost. OU's flat slope is the engine-attributable cost resilience.</w:t>
      </w:r>
    </w:p>
    <w:p>
      <w:pPr>
        <w:jc w:val="center"/>
      </w:pPr>
    </w:p>
    <w:p>
      <w:pPr>
        <w:jc w:val="center"/>
      </w:pPr>
      <w:r>
        <w:drawing>
          <wp:inline xmlns:a="http://schemas.openxmlformats.org/drawingml/2006/main" xmlns:pic="http://schemas.openxmlformats.org/drawingml/2006/picture">
            <wp:extent cx="5303520" cy="1574438"/>
            <wp:docPr id="11" name="Picture 11"/>
            <wp:cNvGraphicFramePr>
              <a:graphicFrameLocks noChangeAspect="1"/>
            </wp:cNvGraphicFramePr>
            <a:graphic>
              <a:graphicData uri="http://schemas.openxmlformats.org/drawingml/2006/picture">
                <pic:pic>
                  <pic:nvPicPr>
                    <pic:cNvPr id="0" name="f_half_life_distribution.png"/>
                    <pic:cNvPicPr/>
                  </pic:nvPicPr>
                  <pic:blipFill>
                    <a:blip r:embed="rId19"/>
                    <a:stretch>
                      <a:fillRect/>
                    </a:stretch>
                  </pic:blipFill>
                  <pic:spPr>
                    <a:xfrm>
                      <a:off x="0" y="0"/>
                      <a:ext cx="5303520" cy="1574438"/>
                    </a:xfrm>
                    <a:prstGeom prst="rect"/>
                  </pic:spPr>
                </pic:pic>
              </a:graphicData>
            </a:graphic>
          </wp:inline>
        </w:drawing>
      </w:r>
    </w:p>
    <w:p>
      <w:pPr>
        <w:spacing w:after="200"/>
        <w:jc w:val="center"/>
      </w:pPr>
      <w:r>
        <w:rPr>
          <w:b/>
          <w:color w:val="2E5A88"/>
          <w:sz w:val="18"/>
        </w:rPr>
        <w:t xml:space="preserve">Figure 11. </w:t>
      </w:r>
      <w:r>
        <w:rPr>
          <w:i/>
          <w:color w:val="555555"/>
          <w:sz w:val="18"/>
        </w:rPr>
        <w:t>OU half-life distribution with Regime-A/B band boundaries. No fit lands in the Regime-A [30,120]-min band — the structural reason intraday square-off is infeasible.</w:t>
      </w:r>
    </w:p>
    <w:p>
      <w:pPr>
        <w:jc w:val="center"/>
      </w:pPr>
    </w:p>
    <w:p>
      <w:pPr>
        <w:jc w:val="center"/>
      </w:pPr>
      <w:r>
        <w:drawing>
          <wp:inline xmlns:a="http://schemas.openxmlformats.org/drawingml/2006/main" xmlns:pic="http://schemas.openxmlformats.org/drawingml/2006/picture">
            <wp:extent cx="5120640" cy="2647772"/>
            <wp:docPr id="12" name="Picture 12"/>
            <wp:cNvGraphicFramePr>
              <a:graphicFrameLocks noChangeAspect="1"/>
            </wp:cNvGraphicFramePr>
            <a:graphic>
              <a:graphicData uri="http://schemas.openxmlformats.org/drawingml/2006/picture">
                <pic:pic>
                  <pic:nvPicPr>
                    <pic:cNvPr id="0" name="k_exclusion_funnel.png"/>
                    <pic:cNvPicPr/>
                  </pic:nvPicPr>
                  <pic:blipFill>
                    <a:blip r:embed="rId20"/>
                    <a:stretch>
                      <a:fillRect/>
                    </a:stretch>
                  </pic:blipFill>
                  <pic:spPr>
                    <a:xfrm>
                      <a:off x="0" y="0"/>
                      <a:ext cx="5120640" cy="2647772"/>
                    </a:xfrm>
                    <a:prstGeom prst="rect"/>
                  </pic:spPr>
                </pic:pic>
              </a:graphicData>
            </a:graphic>
          </wp:inline>
        </w:drawing>
      </w:r>
    </w:p>
    <w:p>
      <w:pPr>
        <w:spacing w:after="200"/>
        <w:jc w:val="center"/>
      </w:pPr>
      <w:r>
        <w:rPr>
          <w:b/>
          <w:color w:val="2E5A88"/>
          <w:sz w:val="18"/>
        </w:rPr>
        <w:t xml:space="preserve">Figure 12. </w:t>
      </w:r>
      <w:r>
        <w:rPr>
          <w:i/>
          <w:color w:val="555555"/>
          <w:sz w:val="18"/>
        </w:rPr>
        <w:t>Exclusion funnel: 19 pair-folds → 18 valid AR(1) → 2 traded Regime-B survivors at 5-min. The narrowness of the matched universe (n=2) is the central fragility.</w:t>
      </w:r>
    </w:p>
    <w:p>
      <w:pPr>
        <w:pStyle w:val="Heading2"/>
      </w:pPr>
      <w:r>
        <w:rPr>
          <w:color w:val="1F3255"/>
        </w:rPr>
        <w:t>5.5  Phase 4 — adaptive Kalman equilibrium (the 8-cell verification)</w:t>
      </w:r>
    </w:p>
    <w:p>
      <w:pPr>
        <w:spacing w:after="120"/>
      </w:pPr>
      <w:r>
        <w:rPr>
          <w:b w:val="0"/>
          <w:i w:val="0"/>
          <w:sz w:val="21"/>
        </w:rPr>
        <w:t>On the same matched universe the μ-only Kalman arm roughly doubles the frozen-OU net Sharpe across the cell grid. The verification reproduces the headline (net Sharpe ≈ 2.1 at the best cell) but also corrects the mechanism narrative.</w:t>
      </w:r>
    </w:p>
    <w:p>
      <w:pPr>
        <w:spacing w:after="60"/>
      </w:pPr>
      <w:r>
        <w:rPr>
          <w:b/>
          <w:color w:val="2E5A88"/>
          <w:sz w:val="18"/>
        </w:rPr>
        <w:t xml:space="preserve">Table 8. </w:t>
      </w:r>
      <w:r>
        <w:rPr>
          <w:i/>
          <w:color w:val="555555"/>
          <w:sz w:val="18"/>
        </w:rPr>
        <w:t>Kalman vs frozen-OU vs rolling-z, all eight matched cells (reports/phase4/verification/1b_eight_cell_table.csv). Kalman net Sharpe ≈ 2× the frozen engine at every cell.</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3255"/>
          </w:tcPr>
          <w:p>
            <w:pPr>
              <w:jc w:val="left"/>
            </w:pPr>
            <w:r/>
            <w:r>
              <w:rPr>
                <w:b/>
                <w:color w:val="FFFFFF"/>
                <w:sz w:val="17"/>
              </w:rPr>
              <w:t>freq</w:t>
            </w:r>
          </w:p>
        </w:tc>
        <w:tc>
          <w:tcPr>
            <w:tcW w:type="dxa" w:w="1072"/>
            <w:shd w:val="clear" w:fill="1F3255"/>
          </w:tcPr>
          <w:p>
            <w:pPr>
              <w:jc w:val="center"/>
            </w:pPr>
            <w:r/>
            <w:r>
              <w:rPr>
                <w:b/>
                <w:color w:val="FFFFFF"/>
                <w:sz w:val="17"/>
              </w:rPr>
              <w:t>cost</w:t>
            </w:r>
          </w:p>
        </w:tc>
        <w:tc>
          <w:tcPr>
            <w:tcW w:type="dxa" w:w="1072"/>
            <w:shd w:val="clear" w:fill="1F3255"/>
          </w:tcPr>
          <w:p>
            <w:pPr>
              <w:jc w:val="center"/>
            </w:pPr>
            <w:r/>
            <w:r>
              <w:rPr>
                <w:b/>
                <w:color w:val="FFFFFF"/>
                <w:sz w:val="17"/>
              </w:rPr>
              <w:t>k tr</w:t>
            </w:r>
          </w:p>
        </w:tc>
        <w:tc>
          <w:tcPr>
            <w:tcW w:type="dxa" w:w="1072"/>
            <w:shd w:val="clear" w:fill="1F3255"/>
          </w:tcPr>
          <w:p>
            <w:pPr>
              <w:jc w:val="center"/>
            </w:pPr>
            <w:r/>
            <w:r>
              <w:rPr>
                <w:b/>
                <w:color w:val="FFFFFF"/>
                <w:sz w:val="17"/>
              </w:rPr>
              <w:t>k net%</w:t>
            </w:r>
          </w:p>
        </w:tc>
        <w:tc>
          <w:tcPr>
            <w:tcW w:type="dxa" w:w="1072"/>
            <w:shd w:val="clear" w:fill="1F3255"/>
          </w:tcPr>
          <w:p>
            <w:pPr>
              <w:jc w:val="center"/>
            </w:pPr>
            <w:r/>
            <w:r>
              <w:rPr>
                <w:b/>
                <w:color w:val="FFFFFF"/>
                <w:sz w:val="17"/>
              </w:rPr>
              <w:t>k net Sh</w:t>
            </w:r>
          </w:p>
        </w:tc>
        <w:tc>
          <w:tcPr>
            <w:tcW w:type="dxa" w:w="1072"/>
            <w:shd w:val="clear" w:fill="1F3255"/>
          </w:tcPr>
          <w:p>
            <w:pPr>
              <w:jc w:val="center"/>
            </w:pPr>
            <w:r/>
            <w:r>
              <w:rPr>
                <w:b/>
                <w:color w:val="FFFFFF"/>
                <w:sz w:val="17"/>
              </w:rPr>
              <w:t>k netAnn%</w:t>
            </w:r>
          </w:p>
        </w:tc>
        <w:tc>
          <w:tcPr>
            <w:tcW w:type="dxa" w:w="1072"/>
            <w:shd w:val="clear" w:fill="1F3255"/>
          </w:tcPr>
          <w:p>
            <w:pPr>
              <w:jc w:val="center"/>
            </w:pPr>
            <w:r/>
            <w:r>
              <w:rPr>
                <w:b/>
                <w:color w:val="FFFFFF"/>
                <w:sz w:val="17"/>
              </w:rPr>
              <w:t>k maxDD%</w:t>
            </w:r>
          </w:p>
        </w:tc>
        <w:tc>
          <w:tcPr>
            <w:tcW w:type="dxa" w:w="1072"/>
            <w:shd w:val="clear" w:fill="1F3255"/>
          </w:tcPr>
          <w:p>
            <w:pPr>
              <w:jc w:val="center"/>
            </w:pPr>
            <w:r/>
            <w:r>
              <w:rPr>
                <w:b/>
                <w:color w:val="FFFFFF"/>
                <w:sz w:val="17"/>
              </w:rPr>
              <w:t>ou net Sh</w:t>
            </w:r>
          </w:p>
        </w:tc>
        <w:tc>
          <w:tcPr>
            <w:tcW w:type="dxa" w:w="1072"/>
            <w:shd w:val="clear" w:fill="1F3255"/>
          </w:tcPr>
          <w:p>
            <w:pPr>
              <w:jc w:val="center"/>
            </w:pPr>
            <w:r/>
            <w:r>
              <w:rPr>
                <w:b/>
                <w:color w:val="FFFFFF"/>
                <w:sz w:val="17"/>
              </w:rPr>
              <w:t>rz net Sh</w:t>
            </w:r>
          </w:p>
        </w:tc>
      </w:tr>
      <w:tr>
        <w:tc>
          <w:tcPr>
            <w:tcW w:type="dxa" w:w="1072"/>
          </w:tcPr>
          <w:p>
            <w:pPr>
              <w:jc w:val="left"/>
            </w:pPr>
            <w:r/>
            <w:r>
              <w:rPr>
                <w:sz w:val="17"/>
              </w:rPr>
              <w:t>5</w:t>
            </w:r>
          </w:p>
        </w:tc>
        <w:tc>
          <w:tcPr>
            <w:tcW w:type="dxa" w:w="1072"/>
          </w:tcPr>
          <w:p>
            <w:pPr>
              <w:jc w:val="center"/>
            </w:pPr>
            <w:r/>
            <w:r>
              <w:rPr>
                <w:sz w:val="17"/>
              </w:rPr>
              <w:t>1</w:t>
            </w:r>
          </w:p>
        </w:tc>
        <w:tc>
          <w:tcPr>
            <w:tcW w:type="dxa" w:w="1072"/>
          </w:tcPr>
          <w:p>
            <w:pPr>
              <w:jc w:val="center"/>
            </w:pPr>
            <w:r/>
            <w:r>
              <w:rPr>
                <w:sz w:val="17"/>
              </w:rPr>
              <w:t>69</w:t>
            </w:r>
          </w:p>
        </w:tc>
        <w:tc>
          <w:tcPr>
            <w:tcW w:type="dxa" w:w="1072"/>
          </w:tcPr>
          <w:p>
            <w:pPr>
              <w:jc w:val="center"/>
            </w:pPr>
            <w:r/>
            <w:r>
              <w:rPr>
                <w:sz w:val="17"/>
              </w:rPr>
              <w:t>139.94</w:t>
            </w:r>
          </w:p>
        </w:tc>
        <w:tc>
          <w:tcPr>
            <w:tcW w:type="dxa" w:w="1072"/>
          </w:tcPr>
          <w:p>
            <w:pPr>
              <w:jc w:val="center"/>
            </w:pPr>
            <w:r/>
            <w:r>
              <w:rPr>
                <w:sz w:val="17"/>
              </w:rPr>
              <w:t>2.145</w:t>
            </w:r>
          </w:p>
        </w:tc>
        <w:tc>
          <w:tcPr>
            <w:tcW w:type="dxa" w:w="1072"/>
          </w:tcPr>
          <w:p>
            <w:pPr>
              <w:jc w:val="center"/>
            </w:pPr>
            <w:r/>
            <w:r>
              <w:rPr>
                <w:sz w:val="17"/>
              </w:rPr>
              <w:t>54.90</w:t>
            </w:r>
          </w:p>
        </w:tc>
        <w:tc>
          <w:tcPr>
            <w:tcW w:type="dxa" w:w="1072"/>
          </w:tcPr>
          <w:p>
            <w:pPr>
              <w:jc w:val="center"/>
            </w:pPr>
            <w:r/>
            <w:r>
              <w:rPr>
                <w:sz w:val="17"/>
              </w:rPr>
              <w:t>-21.02</w:t>
            </w:r>
          </w:p>
        </w:tc>
        <w:tc>
          <w:tcPr>
            <w:tcW w:type="dxa" w:w="1072"/>
          </w:tcPr>
          <w:p>
            <w:pPr>
              <w:jc w:val="center"/>
            </w:pPr>
            <w:r/>
            <w:r>
              <w:rPr>
                <w:sz w:val="17"/>
              </w:rPr>
              <w:t>0.981</w:t>
            </w:r>
          </w:p>
        </w:tc>
        <w:tc>
          <w:tcPr>
            <w:tcW w:type="dxa" w:w="1072"/>
          </w:tcPr>
          <w:p>
            <w:pPr>
              <w:jc w:val="center"/>
            </w:pPr>
            <w:r/>
            <w:r>
              <w:rPr>
                <w:sz w:val="17"/>
              </w:rPr>
              <w:t>0.945</w:t>
            </w:r>
          </w:p>
        </w:tc>
      </w:tr>
      <w:tr>
        <w:tc>
          <w:tcPr>
            <w:tcW w:type="dxa" w:w="1072"/>
            <w:shd w:val="clear" w:fill="EEF2F8"/>
          </w:tcPr>
          <w:p>
            <w:pPr>
              <w:jc w:val="left"/>
            </w:pPr>
            <w:r/>
            <w:r>
              <w:rPr>
                <w:sz w:val="17"/>
              </w:rPr>
              <w:t>5</w:t>
            </w:r>
          </w:p>
        </w:tc>
        <w:tc>
          <w:tcPr>
            <w:tcW w:type="dxa" w:w="1072"/>
            <w:shd w:val="clear" w:fill="EEF2F8"/>
          </w:tcPr>
          <w:p>
            <w:pPr>
              <w:jc w:val="center"/>
            </w:pPr>
            <w:r/>
            <w:r>
              <w:rPr>
                <w:sz w:val="17"/>
              </w:rPr>
              <w:t>3</w:t>
            </w:r>
          </w:p>
        </w:tc>
        <w:tc>
          <w:tcPr>
            <w:tcW w:type="dxa" w:w="1072"/>
            <w:shd w:val="clear" w:fill="EEF2F8"/>
          </w:tcPr>
          <w:p>
            <w:pPr>
              <w:jc w:val="center"/>
            </w:pPr>
            <w:r/>
            <w:r>
              <w:rPr>
                <w:sz w:val="17"/>
              </w:rPr>
              <w:t>60</w:t>
            </w:r>
          </w:p>
        </w:tc>
        <w:tc>
          <w:tcPr>
            <w:tcW w:type="dxa" w:w="1072"/>
            <w:shd w:val="clear" w:fill="EEF2F8"/>
          </w:tcPr>
          <w:p>
            <w:pPr>
              <w:jc w:val="center"/>
            </w:pPr>
            <w:r/>
            <w:r>
              <w:rPr>
                <w:sz w:val="17"/>
              </w:rPr>
              <w:t>119.16</w:t>
            </w:r>
          </w:p>
        </w:tc>
        <w:tc>
          <w:tcPr>
            <w:tcW w:type="dxa" w:w="1072"/>
            <w:shd w:val="clear" w:fill="EEF2F8"/>
          </w:tcPr>
          <w:p>
            <w:pPr>
              <w:jc w:val="center"/>
            </w:pPr>
            <w:r/>
            <w:r>
              <w:rPr>
                <w:sz w:val="17"/>
              </w:rPr>
              <w:t>1.959</w:t>
            </w:r>
          </w:p>
        </w:tc>
        <w:tc>
          <w:tcPr>
            <w:tcW w:type="dxa" w:w="1072"/>
            <w:shd w:val="clear" w:fill="EEF2F8"/>
          </w:tcPr>
          <w:p>
            <w:pPr>
              <w:jc w:val="center"/>
            </w:pPr>
            <w:r/>
            <w:r>
              <w:rPr>
                <w:sz w:val="17"/>
              </w:rPr>
              <w:t>48.04</w:t>
            </w:r>
          </w:p>
        </w:tc>
        <w:tc>
          <w:tcPr>
            <w:tcW w:type="dxa" w:w="1072"/>
            <w:shd w:val="clear" w:fill="EEF2F8"/>
          </w:tcPr>
          <w:p>
            <w:pPr>
              <w:jc w:val="center"/>
            </w:pPr>
            <w:r/>
            <w:r>
              <w:rPr>
                <w:sz w:val="17"/>
              </w:rPr>
              <w:t>-21.08</w:t>
            </w:r>
          </w:p>
        </w:tc>
        <w:tc>
          <w:tcPr>
            <w:tcW w:type="dxa" w:w="1072"/>
            <w:shd w:val="clear" w:fill="EEF2F8"/>
          </w:tcPr>
          <w:p>
            <w:pPr>
              <w:jc w:val="center"/>
            </w:pPr>
            <w:r/>
            <w:r>
              <w:rPr>
                <w:sz w:val="17"/>
              </w:rPr>
              <w:t>0.949</w:t>
            </w:r>
          </w:p>
        </w:tc>
        <w:tc>
          <w:tcPr>
            <w:tcW w:type="dxa" w:w="1072"/>
            <w:shd w:val="clear" w:fill="EEF2F8"/>
          </w:tcPr>
          <w:p>
            <w:pPr>
              <w:jc w:val="center"/>
            </w:pPr>
            <w:r/>
            <w:r>
              <w:rPr>
                <w:sz w:val="17"/>
              </w:rPr>
              <w:t>0.643</w:t>
            </w:r>
          </w:p>
        </w:tc>
      </w:tr>
      <w:tr>
        <w:tc>
          <w:tcPr>
            <w:tcW w:type="dxa" w:w="1072"/>
          </w:tcPr>
          <w:p>
            <w:pPr>
              <w:jc w:val="left"/>
            </w:pPr>
            <w:r/>
            <w:r>
              <w:rPr>
                <w:sz w:val="17"/>
              </w:rPr>
              <w:t>5</w:t>
            </w:r>
          </w:p>
        </w:tc>
        <w:tc>
          <w:tcPr>
            <w:tcW w:type="dxa" w:w="1072"/>
          </w:tcPr>
          <w:p>
            <w:pPr>
              <w:jc w:val="center"/>
            </w:pPr>
            <w:r/>
            <w:r>
              <w:rPr>
                <w:sz w:val="17"/>
              </w:rPr>
              <w:t>5</w:t>
            </w:r>
          </w:p>
        </w:tc>
        <w:tc>
          <w:tcPr>
            <w:tcW w:type="dxa" w:w="1072"/>
          </w:tcPr>
          <w:p>
            <w:pPr>
              <w:jc w:val="center"/>
            </w:pPr>
            <w:r/>
            <w:r>
              <w:rPr>
                <w:sz w:val="17"/>
              </w:rPr>
              <w:t>53</w:t>
            </w:r>
          </w:p>
        </w:tc>
        <w:tc>
          <w:tcPr>
            <w:tcW w:type="dxa" w:w="1072"/>
          </w:tcPr>
          <w:p>
            <w:pPr>
              <w:jc w:val="center"/>
            </w:pPr>
            <w:r/>
            <w:r>
              <w:rPr>
                <w:sz w:val="17"/>
              </w:rPr>
              <w:t>103.13</w:t>
            </w:r>
          </w:p>
        </w:tc>
        <w:tc>
          <w:tcPr>
            <w:tcW w:type="dxa" w:w="1072"/>
          </w:tcPr>
          <w:p>
            <w:pPr>
              <w:jc w:val="center"/>
            </w:pPr>
            <w:r/>
            <w:r>
              <w:rPr>
                <w:sz w:val="17"/>
              </w:rPr>
              <w:t>1.781</w:t>
            </w:r>
          </w:p>
        </w:tc>
        <w:tc>
          <w:tcPr>
            <w:tcW w:type="dxa" w:w="1072"/>
          </w:tcPr>
          <w:p>
            <w:pPr>
              <w:jc w:val="center"/>
            </w:pPr>
            <w:r/>
            <w:r>
              <w:rPr>
                <w:sz w:val="17"/>
              </w:rPr>
              <w:t>42.53</w:t>
            </w:r>
          </w:p>
        </w:tc>
        <w:tc>
          <w:tcPr>
            <w:tcW w:type="dxa" w:w="1072"/>
          </w:tcPr>
          <w:p>
            <w:pPr>
              <w:jc w:val="center"/>
            </w:pPr>
            <w:r/>
            <w:r>
              <w:rPr>
                <w:sz w:val="17"/>
              </w:rPr>
              <w:t>-20.68</w:t>
            </w:r>
          </w:p>
        </w:tc>
        <w:tc>
          <w:tcPr>
            <w:tcW w:type="dxa" w:w="1072"/>
          </w:tcPr>
          <w:p>
            <w:pPr>
              <w:jc w:val="center"/>
            </w:pPr>
            <w:r/>
            <w:r>
              <w:rPr>
                <w:sz w:val="17"/>
              </w:rPr>
              <w:t>0.905</w:t>
            </w:r>
          </w:p>
        </w:tc>
        <w:tc>
          <w:tcPr>
            <w:tcW w:type="dxa" w:w="1072"/>
          </w:tcPr>
          <w:p>
            <w:pPr>
              <w:jc w:val="center"/>
            </w:pPr>
            <w:r/>
            <w:r>
              <w:rPr>
                <w:sz w:val="17"/>
              </w:rPr>
              <w:t>0.341</w:t>
            </w:r>
          </w:p>
        </w:tc>
      </w:tr>
      <w:tr>
        <w:tc>
          <w:tcPr>
            <w:tcW w:type="dxa" w:w="1072"/>
            <w:shd w:val="clear" w:fill="EEF2F8"/>
          </w:tcPr>
          <w:p>
            <w:pPr>
              <w:jc w:val="left"/>
            </w:pPr>
            <w:r/>
            <w:r>
              <w:rPr>
                <w:sz w:val="17"/>
              </w:rPr>
              <w:t>5</w:t>
            </w:r>
          </w:p>
        </w:tc>
        <w:tc>
          <w:tcPr>
            <w:tcW w:type="dxa" w:w="1072"/>
            <w:shd w:val="clear" w:fill="EEF2F8"/>
          </w:tcPr>
          <w:p>
            <w:pPr>
              <w:jc w:val="center"/>
            </w:pPr>
            <w:r/>
            <w:r>
              <w:rPr>
                <w:sz w:val="17"/>
              </w:rPr>
              <w:t>8</w:t>
            </w:r>
          </w:p>
        </w:tc>
        <w:tc>
          <w:tcPr>
            <w:tcW w:type="dxa" w:w="1072"/>
            <w:shd w:val="clear" w:fill="EEF2F8"/>
          </w:tcPr>
          <w:p>
            <w:pPr>
              <w:jc w:val="center"/>
            </w:pPr>
            <w:r/>
            <w:r>
              <w:rPr>
                <w:sz w:val="17"/>
              </w:rPr>
              <w:t>51</w:t>
            </w:r>
          </w:p>
        </w:tc>
        <w:tc>
          <w:tcPr>
            <w:tcW w:type="dxa" w:w="1072"/>
            <w:shd w:val="clear" w:fill="EEF2F8"/>
          </w:tcPr>
          <w:p>
            <w:pPr>
              <w:jc w:val="center"/>
            </w:pPr>
            <w:r/>
            <w:r>
              <w:rPr>
                <w:sz w:val="17"/>
              </w:rPr>
              <w:t>115.20</w:t>
            </w:r>
          </w:p>
        </w:tc>
        <w:tc>
          <w:tcPr>
            <w:tcW w:type="dxa" w:w="1072"/>
            <w:shd w:val="clear" w:fill="EEF2F8"/>
          </w:tcPr>
          <w:p>
            <w:pPr>
              <w:jc w:val="center"/>
            </w:pPr>
            <w:r/>
            <w:r>
              <w:rPr>
                <w:sz w:val="17"/>
              </w:rPr>
              <w:t>1.937</w:t>
            </w:r>
          </w:p>
        </w:tc>
        <w:tc>
          <w:tcPr>
            <w:tcW w:type="dxa" w:w="1072"/>
            <w:shd w:val="clear" w:fill="EEF2F8"/>
          </w:tcPr>
          <w:p>
            <w:pPr>
              <w:jc w:val="center"/>
            </w:pPr>
            <w:r/>
            <w:r>
              <w:rPr>
                <w:sz w:val="17"/>
              </w:rPr>
              <w:t>46.70</w:t>
            </w:r>
          </w:p>
        </w:tc>
        <w:tc>
          <w:tcPr>
            <w:tcW w:type="dxa" w:w="1072"/>
            <w:shd w:val="clear" w:fill="EEF2F8"/>
          </w:tcPr>
          <w:p>
            <w:pPr>
              <w:jc w:val="center"/>
            </w:pPr>
            <w:r/>
            <w:r>
              <w:rPr>
                <w:sz w:val="17"/>
              </w:rPr>
              <w:t>-20.37</w:t>
            </w:r>
          </w:p>
        </w:tc>
        <w:tc>
          <w:tcPr>
            <w:tcW w:type="dxa" w:w="1072"/>
            <w:shd w:val="clear" w:fill="EEF2F8"/>
          </w:tcPr>
          <w:p>
            <w:pPr>
              <w:jc w:val="center"/>
            </w:pPr>
            <w:r/>
            <w:r>
              <w:rPr>
                <w:sz w:val="17"/>
              </w:rPr>
              <w:t>0.935</w:t>
            </w:r>
          </w:p>
        </w:tc>
        <w:tc>
          <w:tcPr>
            <w:tcW w:type="dxa" w:w="1072"/>
            <w:shd w:val="clear" w:fill="EEF2F8"/>
          </w:tcPr>
          <w:p>
            <w:pPr>
              <w:jc w:val="center"/>
            </w:pPr>
            <w:r/>
            <w:r>
              <w:rPr>
                <w:sz w:val="17"/>
              </w:rPr>
              <w:t>-0.107</w:t>
            </w:r>
          </w:p>
        </w:tc>
      </w:tr>
      <w:tr>
        <w:tc>
          <w:tcPr>
            <w:tcW w:type="dxa" w:w="1072"/>
          </w:tcPr>
          <w:p>
            <w:pPr>
              <w:jc w:val="left"/>
            </w:pPr>
            <w:r/>
            <w:r>
              <w:rPr>
                <w:sz w:val="17"/>
              </w:rPr>
              <w:t>15</w:t>
            </w:r>
          </w:p>
        </w:tc>
        <w:tc>
          <w:tcPr>
            <w:tcW w:type="dxa" w:w="1072"/>
          </w:tcPr>
          <w:p>
            <w:pPr>
              <w:jc w:val="center"/>
            </w:pPr>
            <w:r/>
            <w:r>
              <w:rPr>
                <w:sz w:val="17"/>
              </w:rPr>
              <w:t>1</w:t>
            </w:r>
          </w:p>
        </w:tc>
        <w:tc>
          <w:tcPr>
            <w:tcW w:type="dxa" w:w="1072"/>
          </w:tcPr>
          <w:p>
            <w:pPr>
              <w:jc w:val="center"/>
            </w:pPr>
            <w:r/>
            <w:r>
              <w:rPr>
                <w:sz w:val="17"/>
              </w:rPr>
              <w:t>66</w:t>
            </w:r>
          </w:p>
        </w:tc>
        <w:tc>
          <w:tcPr>
            <w:tcW w:type="dxa" w:w="1072"/>
          </w:tcPr>
          <w:p>
            <w:pPr>
              <w:jc w:val="center"/>
            </w:pPr>
            <w:r/>
            <w:r>
              <w:rPr>
                <w:sz w:val="17"/>
              </w:rPr>
              <w:t>141.29</w:t>
            </w:r>
          </w:p>
        </w:tc>
        <w:tc>
          <w:tcPr>
            <w:tcW w:type="dxa" w:w="1072"/>
          </w:tcPr>
          <w:p>
            <w:pPr>
              <w:jc w:val="center"/>
            </w:pPr>
            <w:r/>
            <w:r>
              <w:rPr>
                <w:sz w:val="17"/>
              </w:rPr>
              <w:t>2.145</w:t>
            </w:r>
          </w:p>
        </w:tc>
        <w:tc>
          <w:tcPr>
            <w:tcW w:type="dxa" w:w="1072"/>
          </w:tcPr>
          <w:p>
            <w:pPr>
              <w:jc w:val="center"/>
            </w:pPr>
            <w:r/>
            <w:r>
              <w:rPr>
                <w:sz w:val="17"/>
              </w:rPr>
              <w:t>55.34</w:t>
            </w:r>
          </w:p>
        </w:tc>
        <w:tc>
          <w:tcPr>
            <w:tcW w:type="dxa" w:w="1072"/>
          </w:tcPr>
          <w:p>
            <w:pPr>
              <w:jc w:val="center"/>
            </w:pPr>
            <w:r/>
            <w:r>
              <w:rPr>
                <w:sz w:val="17"/>
              </w:rPr>
              <w:t>-21.48</w:t>
            </w:r>
          </w:p>
        </w:tc>
        <w:tc>
          <w:tcPr>
            <w:tcW w:type="dxa" w:w="1072"/>
          </w:tcPr>
          <w:p>
            <w:pPr>
              <w:jc w:val="center"/>
            </w:pPr>
            <w:r/>
            <w:r>
              <w:rPr>
                <w:sz w:val="17"/>
              </w:rPr>
              <w:t>1.003</w:t>
            </w:r>
          </w:p>
        </w:tc>
        <w:tc>
          <w:tcPr>
            <w:tcW w:type="dxa" w:w="1072"/>
          </w:tcPr>
          <w:p>
            <w:pPr>
              <w:jc w:val="center"/>
            </w:pPr>
            <w:r/>
            <w:r>
              <w:rPr>
                <w:sz w:val="17"/>
              </w:rPr>
              <w:t>0.613</w:t>
            </w:r>
          </w:p>
        </w:tc>
      </w:tr>
      <w:tr>
        <w:tc>
          <w:tcPr>
            <w:tcW w:type="dxa" w:w="1072"/>
            <w:shd w:val="clear" w:fill="EEF2F8"/>
          </w:tcPr>
          <w:p>
            <w:pPr>
              <w:jc w:val="left"/>
            </w:pPr>
            <w:r/>
            <w:r>
              <w:rPr>
                <w:sz w:val="17"/>
              </w:rPr>
              <w:t>15</w:t>
            </w:r>
          </w:p>
        </w:tc>
        <w:tc>
          <w:tcPr>
            <w:tcW w:type="dxa" w:w="1072"/>
            <w:shd w:val="clear" w:fill="EEF2F8"/>
          </w:tcPr>
          <w:p>
            <w:pPr>
              <w:jc w:val="center"/>
            </w:pPr>
            <w:r/>
            <w:r>
              <w:rPr>
                <w:sz w:val="17"/>
              </w:rPr>
              <w:t>3</w:t>
            </w:r>
          </w:p>
        </w:tc>
        <w:tc>
          <w:tcPr>
            <w:tcW w:type="dxa" w:w="1072"/>
            <w:shd w:val="clear" w:fill="EEF2F8"/>
          </w:tcPr>
          <w:p>
            <w:pPr>
              <w:jc w:val="center"/>
            </w:pPr>
            <w:r/>
            <w:r>
              <w:rPr>
                <w:sz w:val="17"/>
              </w:rPr>
              <w:t>57</w:t>
            </w:r>
          </w:p>
        </w:tc>
        <w:tc>
          <w:tcPr>
            <w:tcW w:type="dxa" w:w="1072"/>
            <w:shd w:val="clear" w:fill="EEF2F8"/>
          </w:tcPr>
          <w:p>
            <w:pPr>
              <w:jc w:val="center"/>
            </w:pPr>
            <w:r/>
            <w:r>
              <w:rPr>
                <w:sz w:val="17"/>
              </w:rPr>
              <w:t>126.21</w:t>
            </w:r>
          </w:p>
        </w:tc>
        <w:tc>
          <w:tcPr>
            <w:tcW w:type="dxa" w:w="1072"/>
            <w:shd w:val="clear" w:fill="EEF2F8"/>
          </w:tcPr>
          <w:p>
            <w:pPr>
              <w:jc w:val="center"/>
            </w:pPr>
            <w:r/>
            <w:r>
              <w:rPr>
                <w:sz w:val="17"/>
              </w:rPr>
              <w:t>2.013</w:t>
            </w:r>
          </w:p>
        </w:tc>
        <w:tc>
          <w:tcPr>
            <w:tcW w:type="dxa" w:w="1072"/>
            <w:shd w:val="clear" w:fill="EEF2F8"/>
          </w:tcPr>
          <w:p>
            <w:pPr>
              <w:jc w:val="center"/>
            </w:pPr>
            <w:r/>
            <w:r>
              <w:rPr>
                <w:sz w:val="17"/>
              </w:rPr>
              <w:t>50.40</w:t>
            </w:r>
          </w:p>
        </w:tc>
        <w:tc>
          <w:tcPr>
            <w:tcW w:type="dxa" w:w="1072"/>
            <w:shd w:val="clear" w:fill="EEF2F8"/>
          </w:tcPr>
          <w:p>
            <w:pPr>
              <w:jc w:val="center"/>
            </w:pPr>
            <w:r/>
            <w:r>
              <w:rPr>
                <w:sz w:val="17"/>
              </w:rPr>
              <w:t>-21.65</w:t>
            </w:r>
          </w:p>
        </w:tc>
        <w:tc>
          <w:tcPr>
            <w:tcW w:type="dxa" w:w="1072"/>
            <w:shd w:val="clear" w:fill="EEF2F8"/>
          </w:tcPr>
          <w:p>
            <w:pPr>
              <w:jc w:val="center"/>
            </w:pPr>
            <w:r/>
            <w:r>
              <w:rPr>
                <w:sz w:val="17"/>
              </w:rPr>
              <w:t>0.830</w:t>
            </w:r>
          </w:p>
        </w:tc>
        <w:tc>
          <w:tcPr>
            <w:tcW w:type="dxa" w:w="1072"/>
            <w:shd w:val="clear" w:fill="EEF2F8"/>
          </w:tcPr>
          <w:p>
            <w:pPr>
              <w:jc w:val="center"/>
            </w:pPr>
            <w:r/>
            <w:r>
              <w:rPr>
                <w:sz w:val="17"/>
              </w:rPr>
              <w:t>0.473</w:t>
            </w:r>
          </w:p>
        </w:tc>
      </w:tr>
      <w:tr>
        <w:tc>
          <w:tcPr>
            <w:tcW w:type="dxa" w:w="1072"/>
          </w:tcPr>
          <w:p>
            <w:pPr>
              <w:jc w:val="left"/>
            </w:pPr>
            <w:r/>
            <w:r>
              <w:rPr>
                <w:sz w:val="17"/>
              </w:rPr>
              <w:t>15</w:t>
            </w:r>
          </w:p>
        </w:tc>
        <w:tc>
          <w:tcPr>
            <w:tcW w:type="dxa" w:w="1072"/>
          </w:tcPr>
          <w:p>
            <w:pPr>
              <w:jc w:val="center"/>
            </w:pPr>
            <w:r/>
            <w:r>
              <w:rPr>
                <w:sz w:val="17"/>
              </w:rPr>
              <w:t>5</w:t>
            </w:r>
          </w:p>
        </w:tc>
        <w:tc>
          <w:tcPr>
            <w:tcW w:type="dxa" w:w="1072"/>
          </w:tcPr>
          <w:p>
            <w:pPr>
              <w:jc w:val="center"/>
            </w:pPr>
            <w:r/>
            <w:r>
              <w:rPr>
                <w:sz w:val="17"/>
              </w:rPr>
              <w:t>52</w:t>
            </w:r>
          </w:p>
        </w:tc>
        <w:tc>
          <w:tcPr>
            <w:tcW w:type="dxa" w:w="1072"/>
          </w:tcPr>
          <w:p>
            <w:pPr>
              <w:jc w:val="center"/>
            </w:pPr>
            <w:r/>
            <w:r>
              <w:rPr>
                <w:sz w:val="17"/>
              </w:rPr>
              <w:t>113.96</w:t>
            </w:r>
          </w:p>
        </w:tc>
        <w:tc>
          <w:tcPr>
            <w:tcW w:type="dxa" w:w="1072"/>
          </w:tcPr>
          <w:p>
            <w:pPr>
              <w:jc w:val="center"/>
            </w:pPr>
            <w:r/>
            <w:r>
              <w:rPr>
                <w:sz w:val="17"/>
              </w:rPr>
              <w:t>1.901</w:t>
            </w:r>
          </w:p>
        </w:tc>
        <w:tc>
          <w:tcPr>
            <w:tcW w:type="dxa" w:w="1072"/>
          </w:tcPr>
          <w:p>
            <w:pPr>
              <w:jc w:val="center"/>
            </w:pPr>
            <w:r/>
            <w:r>
              <w:rPr>
                <w:sz w:val="17"/>
              </w:rPr>
              <w:t>46.27</w:t>
            </w:r>
          </w:p>
        </w:tc>
        <w:tc>
          <w:tcPr>
            <w:tcW w:type="dxa" w:w="1072"/>
          </w:tcPr>
          <w:p>
            <w:pPr>
              <w:jc w:val="center"/>
            </w:pPr>
            <w:r/>
            <w:r>
              <w:rPr>
                <w:sz w:val="17"/>
              </w:rPr>
              <w:t>-20.71</w:t>
            </w:r>
          </w:p>
        </w:tc>
        <w:tc>
          <w:tcPr>
            <w:tcW w:type="dxa" w:w="1072"/>
          </w:tcPr>
          <w:p>
            <w:pPr>
              <w:jc w:val="center"/>
            </w:pPr>
            <w:r/>
            <w:r>
              <w:rPr>
                <w:sz w:val="17"/>
              </w:rPr>
              <w:t>0.684</w:t>
            </w:r>
          </w:p>
        </w:tc>
        <w:tc>
          <w:tcPr>
            <w:tcW w:type="dxa" w:w="1072"/>
          </w:tcPr>
          <w:p>
            <w:pPr>
              <w:jc w:val="center"/>
            </w:pPr>
            <w:r/>
            <w:r>
              <w:rPr>
                <w:sz w:val="17"/>
              </w:rPr>
              <w:t>0.331</w:t>
            </w:r>
          </w:p>
        </w:tc>
      </w:tr>
      <w:tr>
        <w:tc>
          <w:tcPr>
            <w:tcW w:type="dxa" w:w="1072"/>
            <w:shd w:val="clear" w:fill="EEF2F8"/>
          </w:tcPr>
          <w:p>
            <w:pPr>
              <w:jc w:val="left"/>
            </w:pPr>
            <w:r/>
            <w:r>
              <w:rPr>
                <w:sz w:val="17"/>
              </w:rPr>
              <w:t>15</w:t>
            </w:r>
          </w:p>
        </w:tc>
        <w:tc>
          <w:tcPr>
            <w:tcW w:type="dxa" w:w="1072"/>
            <w:shd w:val="clear" w:fill="EEF2F8"/>
          </w:tcPr>
          <w:p>
            <w:pPr>
              <w:jc w:val="center"/>
            </w:pPr>
            <w:r/>
            <w:r>
              <w:rPr>
                <w:sz w:val="17"/>
              </w:rPr>
              <w:t>8</w:t>
            </w:r>
          </w:p>
        </w:tc>
        <w:tc>
          <w:tcPr>
            <w:tcW w:type="dxa" w:w="1072"/>
            <w:shd w:val="clear" w:fill="EEF2F8"/>
          </w:tcPr>
          <w:p>
            <w:pPr>
              <w:jc w:val="center"/>
            </w:pPr>
            <w:r/>
            <w:r>
              <w:rPr>
                <w:sz w:val="17"/>
              </w:rPr>
              <w:t>41</w:t>
            </w:r>
          </w:p>
        </w:tc>
        <w:tc>
          <w:tcPr>
            <w:tcW w:type="dxa" w:w="1072"/>
            <w:shd w:val="clear" w:fill="EEF2F8"/>
          </w:tcPr>
          <w:p>
            <w:pPr>
              <w:jc w:val="center"/>
            </w:pPr>
            <w:r/>
            <w:r>
              <w:rPr>
                <w:sz w:val="17"/>
              </w:rPr>
              <w:t>80.13</w:t>
            </w:r>
          </w:p>
        </w:tc>
        <w:tc>
          <w:tcPr>
            <w:tcW w:type="dxa" w:w="1072"/>
            <w:shd w:val="clear" w:fill="EEF2F8"/>
          </w:tcPr>
          <w:p>
            <w:pPr>
              <w:jc w:val="center"/>
            </w:pPr>
            <w:r/>
            <w:r>
              <w:rPr>
                <w:sz w:val="17"/>
              </w:rPr>
              <w:t>1.524</w:t>
            </w:r>
          </w:p>
        </w:tc>
        <w:tc>
          <w:tcPr>
            <w:tcW w:type="dxa" w:w="1072"/>
            <w:shd w:val="clear" w:fill="EEF2F8"/>
          </w:tcPr>
          <w:p>
            <w:pPr>
              <w:jc w:val="center"/>
            </w:pPr>
            <w:r/>
            <w:r>
              <w:rPr>
                <w:sz w:val="17"/>
              </w:rPr>
              <w:t>34.21</w:t>
            </w:r>
          </w:p>
        </w:tc>
        <w:tc>
          <w:tcPr>
            <w:tcW w:type="dxa" w:w="1072"/>
            <w:shd w:val="clear" w:fill="EEF2F8"/>
          </w:tcPr>
          <w:p>
            <w:pPr>
              <w:jc w:val="center"/>
            </w:pPr>
            <w:r/>
            <w:r>
              <w:rPr>
                <w:sz w:val="17"/>
              </w:rPr>
              <w:t>-20.56</w:t>
            </w:r>
          </w:p>
        </w:tc>
        <w:tc>
          <w:tcPr>
            <w:tcW w:type="dxa" w:w="1072"/>
            <w:shd w:val="clear" w:fill="EEF2F8"/>
          </w:tcPr>
          <w:p>
            <w:pPr>
              <w:jc w:val="center"/>
            </w:pPr>
            <w:r/>
            <w:r>
              <w:rPr>
                <w:sz w:val="17"/>
              </w:rPr>
              <w:t>0.745</w:t>
            </w:r>
          </w:p>
        </w:tc>
        <w:tc>
          <w:tcPr>
            <w:tcW w:type="dxa" w:w="1072"/>
            <w:shd w:val="clear" w:fill="EEF2F8"/>
          </w:tcPr>
          <w:p>
            <w:pPr>
              <w:jc w:val="center"/>
            </w:pPr>
            <w:r/>
            <w:r>
              <w:rPr>
                <w:sz w:val="17"/>
              </w:rPr>
              <w:t>0.113</w:t>
            </w:r>
          </w:p>
        </w:tc>
      </w:tr>
    </w:tbl>
    <w:p>
      <w:pPr>
        <w:spacing w:after="120"/>
      </w:pPr>
    </w:p>
    <w:p>
      <w:pPr>
        <w:spacing w:after="120"/>
      </w:pPr>
      <w:r>
        <w:rPr>
          <w:b w:val="0"/>
          <w:i w:val="0"/>
          <w:sz w:val="21"/>
        </w:rPr>
        <w:t>What the verification corrects: the adaptive edge is downside-tail compression, not larger winners — the Kalman 5th-percentile trade is −168 bps vs the frozen engine's −605 bps, while its median trade is actually lower. The edge is NOT sourced from rescuing the frozen engine's stuck trades (the overlap with frozen losing time-stop/fold-close windows is +0.23% of gross). And the win rate is mechanism-inflated: 78.6% of trades see the tracking anchor μ move toward the entry spread during the hold. Two of four pre-registered reviewer predictions are NOT MET (the per-trade capture is smaller than predicted and the overlap story is wrong), even though the net-Sharpe improvement is real.</w:t>
      </w:r>
    </w:p>
    <w:p>
      <w:pPr>
        <w:jc w:val="center"/>
      </w:pPr>
    </w:p>
    <w:p>
      <w:pPr>
        <w:jc w:val="center"/>
      </w:pPr>
      <w:r>
        <w:drawing>
          <wp:inline xmlns:a="http://schemas.openxmlformats.org/drawingml/2006/main" xmlns:pic="http://schemas.openxmlformats.org/drawingml/2006/picture">
            <wp:extent cx="5120640" cy="1992262"/>
            <wp:docPr id="13" name="Picture 13"/>
            <wp:cNvGraphicFramePr>
              <a:graphicFrameLocks noChangeAspect="1"/>
            </wp:cNvGraphicFramePr>
            <a:graphic>
              <a:graphicData uri="http://schemas.openxmlformats.org/drawingml/2006/picture">
                <pic:pic>
                  <pic:nvPicPr>
                    <pic:cNvPr id="0" name="drift_before_after.png"/>
                    <pic:cNvPicPr/>
                  </pic:nvPicPr>
                  <pic:blipFill>
                    <a:blip r:embed="rId21"/>
                    <a:stretch>
                      <a:fillRect/>
                    </a:stretch>
                  </pic:blipFill>
                  <pic:spPr>
                    <a:xfrm>
                      <a:off x="0" y="0"/>
                      <a:ext cx="5120640" cy="1992262"/>
                    </a:xfrm>
                    <a:prstGeom prst="rect"/>
                  </pic:spPr>
                </pic:pic>
              </a:graphicData>
            </a:graphic>
          </wp:inline>
        </w:drawing>
      </w:r>
    </w:p>
    <w:p>
      <w:pPr>
        <w:spacing w:after="200"/>
        <w:jc w:val="center"/>
      </w:pPr>
      <w:r>
        <w:rPr>
          <w:b/>
          <w:color w:val="2E5A88"/>
          <w:sz w:val="18"/>
        </w:rPr>
        <w:t xml:space="preserve">Figure 13. </w:t>
      </w:r>
      <w:r>
        <w:rPr>
          <w:i/>
          <w:color w:val="555555"/>
          <w:sz w:val="18"/>
        </w:rPr>
        <w:t>Equilibrium drift before/after adaptive tracking (reports/phase3_kalman/figures). The filter pulls the standardised test-slice drift toward zero.</w:t>
      </w:r>
    </w:p>
    <w:p>
      <w:pPr>
        <w:jc w:val="center"/>
      </w:pPr>
    </w:p>
    <w:p>
      <w:pPr>
        <w:jc w:val="center"/>
      </w:pPr>
      <w:r>
        <w:drawing>
          <wp:inline xmlns:a="http://schemas.openxmlformats.org/drawingml/2006/main" xmlns:pic="http://schemas.openxmlformats.org/drawingml/2006/picture">
            <wp:extent cx="5303520" cy="3481588"/>
            <wp:docPr id="14" name="Picture 14"/>
            <wp:cNvGraphicFramePr>
              <a:graphicFrameLocks noChangeAspect="1"/>
            </wp:cNvGraphicFramePr>
            <a:graphic>
              <a:graphicData uri="http://schemas.openxmlformats.org/drawingml/2006/picture">
                <pic:pic>
                  <pic:nvPicPr>
                    <pic:cNvPr id="0" name="per_trade_pnl_dist.png"/>
                    <pic:cNvPicPr/>
                  </pic:nvPicPr>
                  <pic:blipFill>
                    <a:blip r:embed="rId22"/>
                    <a:stretch>
                      <a:fillRect/>
                    </a:stretch>
                  </pic:blipFill>
                  <pic:spPr>
                    <a:xfrm>
                      <a:off x="0" y="0"/>
                      <a:ext cx="5303520" cy="3481588"/>
                    </a:xfrm>
                    <a:prstGeom prst="rect"/>
                  </pic:spPr>
                </pic:pic>
              </a:graphicData>
            </a:graphic>
          </wp:inline>
        </w:drawing>
      </w:r>
    </w:p>
    <w:p>
      <w:pPr>
        <w:spacing w:after="200"/>
        <w:jc w:val="center"/>
      </w:pPr>
      <w:r>
        <w:rPr>
          <w:b/>
          <w:color w:val="2E5A88"/>
          <w:sz w:val="18"/>
        </w:rPr>
        <w:t xml:space="preserve">Figure 14. </w:t>
      </w:r>
      <w:r>
        <w:rPr>
          <w:i/>
          <w:color w:val="555555"/>
          <w:sz w:val="18"/>
        </w:rPr>
        <w:t>Per-trade net P&amp;L: Kalman vs frozen-OU. The Kalman distribution is left-tail compressed (tighter p5), not right-shifted — downside control, not bigger wins.</w:t>
      </w:r>
    </w:p>
    <w:p>
      <w:pPr>
        <w:jc w:val="center"/>
      </w:pPr>
    </w:p>
    <w:p>
      <w:pPr>
        <w:jc w:val="center"/>
      </w:pPr>
      <w:r>
        <w:drawing>
          <wp:inline xmlns:a="http://schemas.openxmlformats.org/drawingml/2006/main" xmlns:pic="http://schemas.openxmlformats.org/drawingml/2006/picture">
            <wp:extent cx="5303520" cy="1991103"/>
            <wp:docPr id="15" name="Picture 15"/>
            <wp:cNvGraphicFramePr>
              <a:graphicFrameLocks noChangeAspect="1"/>
            </wp:cNvGraphicFramePr>
            <a:graphic>
              <a:graphicData uri="http://schemas.openxmlformats.org/drawingml/2006/picture">
                <pic:pic>
                  <pic:nvPicPr>
                    <pic:cNvPr id="0" name="mu_overlay_fold4.png"/>
                    <pic:cNvPicPr/>
                  </pic:nvPicPr>
                  <pic:blipFill>
                    <a:blip r:embed="rId23"/>
                    <a:stretch>
                      <a:fillRect/>
                    </a:stretch>
                  </pic:blipFill>
                  <pic:spPr>
                    <a:xfrm>
                      <a:off x="0" y="0"/>
                      <a:ext cx="5303520" cy="1991103"/>
                    </a:xfrm>
                    <a:prstGeom prst="rect"/>
                  </pic:spPr>
                </pic:pic>
              </a:graphicData>
            </a:graphic>
          </wp:inline>
        </w:drawing>
      </w:r>
    </w:p>
    <w:p>
      <w:pPr>
        <w:spacing w:after="200"/>
        <w:jc w:val="center"/>
      </w:pPr>
      <w:r>
        <w:rPr>
          <w:b/>
          <w:color w:val="2E5A88"/>
          <w:sz w:val="18"/>
        </w:rPr>
        <w:t xml:space="preserve">Figure 15. </w:t>
      </w:r>
      <w:r>
        <w:rPr>
          <w:i/>
          <w:color w:val="555555"/>
          <w:sz w:val="18"/>
        </w:rPr>
        <w:t>μ-tracking overlay, INDUSINDBK/HDFCBANK fold 4: spread with frozen μ and tracking μ_t and trade marks. The anchor moves materially across sessions.</w:t>
      </w:r>
    </w:p>
    <w:p>
      <w:pPr>
        <w:pStyle w:val="Heading2"/>
      </w:pPr>
      <w:r>
        <w:rPr>
          <w:color w:val="1F3255"/>
        </w:rPr>
        <w:t>5.6  Phase 4 — β-escalation (weak identification)</w:t>
      </w:r>
    </w:p>
    <w:p>
      <w:pPr>
        <w:spacing w:after="120"/>
      </w:pPr>
      <w:r>
        <w:rPr>
          <w:b w:val="0"/>
          <w:i w:val="0"/>
          <w:sz w:val="21"/>
        </w:rPr>
        <w:t>Allowing β to track as well fails. At every finite tracking horizon, on every diagnostic pair-fold, β collapses toward zero (fold 4: 1.643 → 0.089 at H_β=10; the KOTAK fold even flips β negative). Intraday increment co-movement is too weak to identify the hedge ratio, so the returns-regression observation drags β to the floor. Train selection consequently picks H_β = ∞ — it refuses to track β — at which point the joint filter is identically the μ-only filter (verified bit-for-bit). The canonical −7σ fold-6 case is not admissibly neutralised by a tracking-β filter on this data. The gate fails, and the failure is the finding: the path forward is to estimate β at a lower frequency or on a universe that genuinely co-moves intraday.</w:t>
      </w:r>
    </w:p>
    <w:p>
      <w:pPr>
        <w:spacing w:after="60"/>
      </w:pPr>
      <w:r>
        <w:rPr>
          <w:b/>
          <w:color w:val="2E5A88"/>
          <w:sz w:val="18"/>
        </w:rPr>
        <w:t xml:space="preserve">Table 9. </w:t>
      </w:r>
      <w:r>
        <w:rPr>
          <w:i/>
          <w:color w:val="555555"/>
          <w:sz w:val="18"/>
        </w:rPr>
        <w:t>β-collapse diagnostic, 5-min, finite horizons (reports/phase4/beta_escalation/beta_collapse.csv). Every finite H_β drives β below the stability band on every pair-fold.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1F3255"/>
          </w:tcPr>
          <w:p>
            <w:pPr>
              <w:jc w:val="left"/>
            </w:pPr>
            <w:r/>
            <w:r>
              <w:rPr>
                <w:b/>
                <w:color w:val="FFFFFF"/>
                <w:sz w:val="17"/>
              </w:rPr>
              <w:t>pair</w:t>
            </w:r>
          </w:p>
        </w:tc>
        <w:tc>
          <w:tcPr>
            <w:tcW w:type="dxa" w:w="1378"/>
            <w:shd w:val="clear" w:fill="1F3255"/>
          </w:tcPr>
          <w:p>
            <w:pPr>
              <w:jc w:val="center"/>
            </w:pPr>
            <w:r/>
            <w:r>
              <w:rPr>
                <w:b/>
                <w:color w:val="FFFFFF"/>
                <w:sz w:val="17"/>
              </w:rPr>
              <w:t>H_β</w:t>
            </w:r>
          </w:p>
        </w:tc>
        <w:tc>
          <w:tcPr>
            <w:tcW w:type="dxa" w:w="1378"/>
            <w:shd w:val="clear" w:fill="1F3255"/>
          </w:tcPr>
          <w:p>
            <w:pPr>
              <w:jc w:val="center"/>
            </w:pPr>
            <w:r/>
            <w:r>
              <w:rPr>
                <w:b/>
                <w:color w:val="FFFFFF"/>
                <w:sz w:val="17"/>
              </w:rPr>
              <w:t>β₀</w:t>
            </w:r>
          </w:p>
        </w:tc>
        <w:tc>
          <w:tcPr>
            <w:tcW w:type="dxa" w:w="1378"/>
            <w:shd w:val="clear" w:fill="1F3255"/>
          </w:tcPr>
          <w:p>
            <w:pPr>
              <w:jc w:val="center"/>
            </w:pPr>
            <w:r/>
            <w:r>
              <w:rPr>
                <w:b/>
                <w:color w:val="FFFFFF"/>
                <w:sz w:val="17"/>
              </w:rPr>
              <w:t>β min</w:t>
            </w:r>
          </w:p>
        </w:tc>
        <w:tc>
          <w:tcPr>
            <w:tcW w:type="dxa" w:w="1378"/>
            <w:shd w:val="clear" w:fill="1F3255"/>
          </w:tcPr>
          <w:p>
            <w:pPr>
              <w:jc w:val="center"/>
            </w:pPr>
            <w:r/>
            <w:r>
              <w:rPr>
                <w:b/>
                <w:color w:val="FFFFFF"/>
                <w:sz w:val="17"/>
              </w:rPr>
              <w:t>min ratio</w:t>
            </w:r>
          </w:p>
        </w:tc>
        <w:tc>
          <w:tcPr>
            <w:tcW w:type="dxa" w:w="1378"/>
            <w:shd w:val="clear" w:fill="1F3255"/>
          </w:tcPr>
          <w:p>
            <w:pPr>
              <w:jc w:val="center"/>
            </w:pPr>
            <w:r/>
            <w:r>
              <w:rPr>
                <w:b/>
                <w:color w:val="FFFFFF"/>
                <w:sz w:val="17"/>
              </w:rPr>
              <w:t>→0?</w:t>
            </w:r>
          </w:p>
        </w:tc>
        <w:tc>
          <w:tcPr>
            <w:tcW w:type="dxa" w:w="1378"/>
            <w:shd w:val="clear" w:fill="1F3255"/>
          </w:tcPr>
          <w:p>
            <w:pPr>
              <w:jc w:val="center"/>
            </w:pPr>
            <w:r/>
            <w:r>
              <w:rPr>
                <w:b/>
                <w:color w:val="FFFFFF"/>
                <w:sz w:val="17"/>
              </w:rPr>
              <w:t>stable?</w:t>
            </w:r>
          </w:p>
        </w:tc>
      </w:tr>
      <w:tr>
        <w:tc>
          <w:tcPr>
            <w:tcW w:type="dxa" w:w="1378"/>
          </w:tcPr>
          <w:p>
            <w:pPr>
              <w:jc w:val="left"/>
            </w:pPr>
            <w:r/>
            <w:r>
              <w:rPr>
                <w:sz w:val="17"/>
              </w:rPr>
              <w:t>INDUSINDBK/HDFCBANK</w:t>
            </w:r>
          </w:p>
        </w:tc>
        <w:tc>
          <w:tcPr>
            <w:tcW w:type="dxa" w:w="1378"/>
          </w:tcPr>
          <w:p>
            <w:pPr>
              <w:jc w:val="center"/>
            </w:pPr>
            <w:r/>
            <w:r>
              <w:rPr>
                <w:sz w:val="17"/>
              </w:rPr>
              <w:t>inf</w:t>
            </w:r>
          </w:p>
        </w:tc>
        <w:tc>
          <w:tcPr>
            <w:tcW w:type="dxa" w:w="1378"/>
          </w:tcPr>
          <w:p>
            <w:pPr>
              <w:jc w:val="center"/>
            </w:pPr>
            <w:r/>
            <w:r>
              <w:rPr>
                <w:sz w:val="17"/>
              </w:rPr>
              <w:t>1.643</w:t>
            </w:r>
          </w:p>
        </w:tc>
        <w:tc>
          <w:tcPr>
            <w:tcW w:type="dxa" w:w="1378"/>
          </w:tcPr>
          <w:p>
            <w:pPr>
              <w:jc w:val="center"/>
            </w:pPr>
            <w:r/>
            <w:r>
              <w:rPr>
                <w:sz w:val="17"/>
              </w:rPr>
              <w:t>1.643</w:t>
            </w:r>
          </w:p>
        </w:tc>
        <w:tc>
          <w:tcPr>
            <w:tcW w:type="dxa" w:w="1378"/>
          </w:tcPr>
          <w:p>
            <w:pPr>
              <w:jc w:val="center"/>
            </w:pPr>
            <w:r/>
            <w:r>
              <w:rPr>
                <w:sz w:val="17"/>
              </w:rPr>
              <w:t>1.000</w:t>
            </w:r>
          </w:p>
        </w:tc>
        <w:tc>
          <w:tcPr>
            <w:tcW w:type="dxa" w:w="1378"/>
          </w:tcPr>
          <w:p>
            <w:pPr>
              <w:jc w:val="center"/>
            </w:pPr>
            <w:r/>
            <w:r>
              <w:rPr>
                <w:sz w:val="17"/>
              </w:rPr>
              <w:t>no</w:t>
            </w:r>
          </w:p>
        </w:tc>
        <w:tc>
          <w:tcPr>
            <w:tcW w:type="dxa" w:w="1378"/>
          </w:tcPr>
          <w:p>
            <w:pPr>
              <w:jc w:val="center"/>
            </w:pPr>
            <w:r/>
            <w:r>
              <w:rPr>
                <w:sz w:val="17"/>
              </w:rPr>
              <w:t>yes</w:t>
            </w:r>
          </w:p>
        </w:tc>
      </w:tr>
      <w:tr>
        <w:tc>
          <w:tcPr>
            <w:tcW w:type="dxa" w:w="1378"/>
            <w:shd w:val="clear" w:fill="EEF2F8"/>
          </w:tcPr>
          <w:p>
            <w:pPr>
              <w:jc w:val="left"/>
            </w:pPr>
            <w:r/>
            <w:r>
              <w:rPr>
                <w:sz w:val="17"/>
              </w:rPr>
              <w:t>INDUSINDBK/HDFCBANK</w:t>
            </w:r>
          </w:p>
        </w:tc>
        <w:tc>
          <w:tcPr>
            <w:tcW w:type="dxa" w:w="1378"/>
            <w:shd w:val="clear" w:fill="EEF2F8"/>
          </w:tcPr>
          <w:p>
            <w:pPr>
              <w:jc w:val="center"/>
            </w:pPr>
            <w:r/>
            <w:r>
              <w:rPr>
                <w:sz w:val="17"/>
              </w:rPr>
              <w:t>40.0</w:t>
            </w:r>
          </w:p>
        </w:tc>
        <w:tc>
          <w:tcPr>
            <w:tcW w:type="dxa" w:w="1378"/>
            <w:shd w:val="clear" w:fill="EEF2F8"/>
          </w:tcPr>
          <w:p>
            <w:pPr>
              <w:jc w:val="center"/>
            </w:pPr>
            <w:r/>
            <w:r>
              <w:rPr>
                <w:sz w:val="17"/>
              </w:rPr>
              <w:t>1.643</w:t>
            </w:r>
          </w:p>
        </w:tc>
        <w:tc>
          <w:tcPr>
            <w:tcW w:type="dxa" w:w="1378"/>
            <w:shd w:val="clear" w:fill="EEF2F8"/>
          </w:tcPr>
          <w:p>
            <w:pPr>
              <w:jc w:val="center"/>
            </w:pPr>
            <w:r/>
            <w:r>
              <w:rPr>
                <w:sz w:val="17"/>
              </w:rPr>
              <w:t>0.197</w:t>
            </w:r>
          </w:p>
        </w:tc>
        <w:tc>
          <w:tcPr>
            <w:tcW w:type="dxa" w:w="1378"/>
            <w:shd w:val="clear" w:fill="EEF2F8"/>
          </w:tcPr>
          <w:p>
            <w:pPr>
              <w:jc w:val="center"/>
            </w:pPr>
            <w:r/>
            <w:r>
              <w:rPr>
                <w:sz w:val="17"/>
              </w:rPr>
              <w:t>0.120</w:t>
            </w:r>
          </w:p>
        </w:tc>
        <w:tc>
          <w:tcPr>
            <w:tcW w:type="dxa" w:w="1378"/>
            <w:shd w:val="clear" w:fill="EEF2F8"/>
          </w:tcPr>
          <w:p>
            <w:pPr>
              <w:jc w:val="center"/>
            </w:pPr>
            <w:r/>
            <w:r>
              <w:rPr>
                <w:sz w:val="17"/>
              </w:rPr>
              <w:t>yes</w:t>
            </w:r>
          </w:p>
        </w:tc>
        <w:tc>
          <w:tcPr>
            <w:tcW w:type="dxa" w:w="1378"/>
            <w:shd w:val="clear" w:fill="EEF2F8"/>
          </w:tcPr>
          <w:p>
            <w:pPr>
              <w:jc w:val="center"/>
            </w:pPr>
            <w:r/>
            <w:r>
              <w:rPr>
                <w:sz w:val="17"/>
              </w:rPr>
              <w:t>no</w:t>
            </w:r>
          </w:p>
        </w:tc>
      </w:tr>
      <w:tr>
        <w:tc>
          <w:tcPr>
            <w:tcW w:type="dxa" w:w="1378"/>
          </w:tcPr>
          <w:p>
            <w:pPr>
              <w:jc w:val="left"/>
            </w:pPr>
            <w:r/>
            <w:r>
              <w:rPr>
                <w:sz w:val="17"/>
              </w:rPr>
              <w:t>INDUSINDBK/HDFCBANK</w:t>
            </w:r>
          </w:p>
        </w:tc>
        <w:tc>
          <w:tcPr>
            <w:tcW w:type="dxa" w:w="1378"/>
          </w:tcPr>
          <w:p>
            <w:pPr>
              <w:jc w:val="center"/>
            </w:pPr>
            <w:r/>
            <w:r>
              <w:rPr>
                <w:sz w:val="17"/>
              </w:rPr>
              <w:t>20.0</w:t>
            </w:r>
          </w:p>
        </w:tc>
        <w:tc>
          <w:tcPr>
            <w:tcW w:type="dxa" w:w="1378"/>
          </w:tcPr>
          <w:p>
            <w:pPr>
              <w:jc w:val="center"/>
            </w:pPr>
            <w:r/>
            <w:r>
              <w:rPr>
                <w:sz w:val="17"/>
              </w:rPr>
              <w:t>1.643</w:t>
            </w:r>
          </w:p>
        </w:tc>
        <w:tc>
          <w:tcPr>
            <w:tcW w:type="dxa" w:w="1378"/>
          </w:tcPr>
          <w:p>
            <w:pPr>
              <w:jc w:val="center"/>
            </w:pPr>
            <w:r/>
            <w:r>
              <w:rPr>
                <w:sz w:val="17"/>
              </w:rPr>
              <w:t>0.139</w:t>
            </w:r>
          </w:p>
        </w:tc>
        <w:tc>
          <w:tcPr>
            <w:tcW w:type="dxa" w:w="1378"/>
          </w:tcPr>
          <w:p>
            <w:pPr>
              <w:jc w:val="center"/>
            </w:pPr>
            <w:r/>
            <w:r>
              <w:rPr>
                <w:sz w:val="17"/>
              </w:rPr>
              <w:t>0.085</w:t>
            </w:r>
          </w:p>
        </w:tc>
        <w:tc>
          <w:tcPr>
            <w:tcW w:type="dxa" w:w="1378"/>
          </w:tcPr>
          <w:p>
            <w:pPr>
              <w:jc w:val="center"/>
            </w:pPr>
            <w:r/>
            <w:r>
              <w:rPr>
                <w:sz w:val="17"/>
              </w:rPr>
              <w:t>yes</w:t>
            </w:r>
          </w:p>
        </w:tc>
        <w:tc>
          <w:tcPr>
            <w:tcW w:type="dxa" w:w="1378"/>
          </w:tcPr>
          <w:p>
            <w:pPr>
              <w:jc w:val="center"/>
            </w:pPr>
            <w:r/>
            <w:r>
              <w:rPr>
                <w:sz w:val="17"/>
              </w:rPr>
              <w:t>no</w:t>
            </w:r>
          </w:p>
        </w:tc>
      </w:tr>
      <w:tr>
        <w:tc>
          <w:tcPr>
            <w:tcW w:type="dxa" w:w="1378"/>
            <w:shd w:val="clear" w:fill="EEF2F8"/>
          </w:tcPr>
          <w:p>
            <w:pPr>
              <w:jc w:val="left"/>
            </w:pPr>
            <w:r/>
            <w:r>
              <w:rPr>
                <w:sz w:val="17"/>
              </w:rPr>
              <w:t>INDUSINDBK/HDFCBANK</w:t>
            </w:r>
          </w:p>
        </w:tc>
        <w:tc>
          <w:tcPr>
            <w:tcW w:type="dxa" w:w="1378"/>
            <w:shd w:val="clear" w:fill="EEF2F8"/>
          </w:tcPr>
          <w:p>
            <w:pPr>
              <w:jc w:val="center"/>
            </w:pPr>
            <w:r/>
            <w:r>
              <w:rPr>
                <w:sz w:val="17"/>
              </w:rPr>
              <w:t>10.0</w:t>
            </w:r>
          </w:p>
        </w:tc>
        <w:tc>
          <w:tcPr>
            <w:tcW w:type="dxa" w:w="1378"/>
            <w:shd w:val="clear" w:fill="EEF2F8"/>
          </w:tcPr>
          <w:p>
            <w:pPr>
              <w:jc w:val="center"/>
            </w:pPr>
            <w:r/>
            <w:r>
              <w:rPr>
                <w:sz w:val="17"/>
              </w:rPr>
              <w:t>1.643</w:t>
            </w:r>
          </w:p>
        </w:tc>
        <w:tc>
          <w:tcPr>
            <w:tcW w:type="dxa" w:w="1378"/>
            <w:shd w:val="clear" w:fill="EEF2F8"/>
          </w:tcPr>
          <w:p>
            <w:pPr>
              <w:jc w:val="center"/>
            </w:pPr>
            <w:r/>
            <w:r>
              <w:rPr>
                <w:sz w:val="17"/>
              </w:rPr>
              <w:t>0.089</w:t>
            </w:r>
          </w:p>
        </w:tc>
        <w:tc>
          <w:tcPr>
            <w:tcW w:type="dxa" w:w="1378"/>
            <w:shd w:val="clear" w:fill="EEF2F8"/>
          </w:tcPr>
          <w:p>
            <w:pPr>
              <w:jc w:val="center"/>
            </w:pPr>
            <w:r/>
            <w:r>
              <w:rPr>
                <w:sz w:val="17"/>
              </w:rPr>
              <w:t>0.054</w:t>
            </w:r>
          </w:p>
        </w:tc>
        <w:tc>
          <w:tcPr>
            <w:tcW w:type="dxa" w:w="1378"/>
            <w:shd w:val="clear" w:fill="EEF2F8"/>
          </w:tcPr>
          <w:p>
            <w:pPr>
              <w:jc w:val="center"/>
            </w:pPr>
            <w:r/>
            <w:r>
              <w:rPr>
                <w:sz w:val="17"/>
              </w:rPr>
              <w:t>yes</w:t>
            </w:r>
          </w:p>
        </w:tc>
        <w:tc>
          <w:tcPr>
            <w:tcW w:type="dxa" w:w="1378"/>
            <w:shd w:val="clear" w:fill="EEF2F8"/>
          </w:tcPr>
          <w:p>
            <w:pPr>
              <w:jc w:val="center"/>
            </w:pPr>
            <w:r/>
            <w:r>
              <w:rPr>
                <w:sz w:val="17"/>
              </w:rPr>
              <w:t>no</w:t>
            </w:r>
          </w:p>
        </w:tc>
      </w:tr>
      <w:tr>
        <w:tc>
          <w:tcPr>
            <w:tcW w:type="dxa" w:w="1378"/>
          </w:tcPr>
          <w:p>
            <w:pPr>
              <w:jc w:val="left"/>
            </w:pPr>
            <w:r/>
            <w:r>
              <w:rPr>
                <w:sz w:val="17"/>
              </w:rPr>
              <w:t>KOTAKBANK/HDFCBANK</w:t>
            </w:r>
          </w:p>
        </w:tc>
        <w:tc>
          <w:tcPr>
            <w:tcW w:type="dxa" w:w="1378"/>
          </w:tcPr>
          <w:p>
            <w:pPr>
              <w:jc w:val="center"/>
            </w:pPr>
            <w:r/>
            <w:r>
              <w:rPr>
                <w:sz w:val="17"/>
              </w:rPr>
              <w:t>inf</w:t>
            </w:r>
          </w:p>
        </w:tc>
        <w:tc>
          <w:tcPr>
            <w:tcW w:type="dxa" w:w="1378"/>
          </w:tcPr>
          <w:p>
            <w:pPr>
              <w:jc w:val="center"/>
            </w:pPr>
            <w:r/>
            <w:r>
              <w:rPr>
                <w:sz w:val="17"/>
              </w:rPr>
              <w:t>0.872</w:t>
            </w:r>
          </w:p>
        </w:tc>
        <w:tc>
          <w:tcPr>
            <w:tcW w:type="dxa" w:w="1378"/>
          </w:tcPr>
          <w:p>
            <w:pPr>
              <w:jc w:val="center"/>
            </w:pPr>
            <w:r/>
            <w:r>
              <w:rPr>
                <w:sz w:val="17"/>
              </w:rPr>
              <w:t>0.872</w:t>
            </w:r>
          </w:p>
        </w:tc>
        <w:tc>
          <w:tcPr>
            <w:tcW w:type="dxa" w:w="1378"/>
          </w:tcPr>
          <w:p>
            <w:pPr>
              <w:jc w:val="center"/>
            </w:pPr>
            <w:r/>
            <w:r>
              <w:rPr>
                <w:sz w:val="17"/>
              </w:rPr>
              <w:t>1.000</w:t>
            </w:r>
          </w:p>
        </w:tc>
        <w:tc>
          <w:tcPr>
            <w:tcW w:type="dxa" w:w="1378"/>
          </w:tcPr>
          <w:p>
            <w:pPr>
              <w:jc w:val="center"/>
            </w:pPr>
            <w:r/>
            <w:r>
              <w:rPr>
                <w:sz w:val="17"/>
              </w:rPr>
              <w:t>no</w:t>
            </w:r>
          </w:p>
        </w:tc>
        <w:tc>
          <w:tcPr>
            <w:tcW w:type="dxa" w:w="1378"/>
          </w:tcPr>
          <w:p>
            <w:pPr>
              <w:jc w:val="center"/>
            </w:pPr>
            <w:r/>
            <w:r>
              <w:rPr>
                <w:sz w:val="17"/>
              </w:rPr>
              <w:t>yes</w:t>
            </w:r>
          </w:p>
        </w:tc>
      </w:tr>
      <w:tr>
        <w:tc>
          <w:tcPr>
            <w:tcW w:type="dxa" w:w="1378"/>
            <w:shd w:val="clear" w:fill="EEF2F8"/>
          </w:tcPr>
          <w:p>
            <w:pPr>
              <w:jc w:val="left"/>
            </w:pPr>
            <w:r/>
            <w:r>
              <w:rPr>
                <w:sz w:val="17"/>
              </w:rPr>
              <w:t>KOTAKBANK/HDFCBANK</w:t>
            </w:r>
          </w:p>
        </w:tc>
        <w:tc>
          <w:tcPr>
            <w:tcW w:type="dxa" w:w="1378"/>
            <w:shd w:val="clear" w:fill="EEF2F8"/>
          </w:tcPr>
          <w:p>
            <w:pPr>
              <w:jc w:val="center"/>
            </w:pPr>
            <w:r/>
            <w:r>
              <w:rPr>
                <w:sz w:val="17"/>
              </w:rPr>
              <w:t>40.0</w:t>
            </w:r>
          </w:p>
        </w:tc>
        <w:tc>
          <w:tcPr>
            <w:tcW w:type="dxa" w:w="1378"/>
            <w:shd w:val="clear" w:fill="EEF2F8"/>
          </w:tcPr>
          <w:p>
            <w:pPr>
              <w:jc w:val="center"/>
            </w:pPr>
            <w:r/>
            <w:r>
              <w:rPr>
                <w:sz w:val="17"/>
              </w:rPr>
              <w:t>0.872</w:t>
            </w:r>
          </w:p>
        </w:tc>
        <w:tc>
          <w:tcPr>
            <w:tcW w:type="dxa" w:w="1378"/>
            <w:shd w:val="clear" w:fill="EEF2F8"/>
          </w:tcPr>
          <w:p>
            <w:pPr>
              <w:jc w:val="center"/>
            </w:pPr>
            <w:r/>
            <w:r>
              <w:rPr>
                <w:sz w:val="17"/>
              </w:rPr>
              <w:t>0.134</w:t>
            </w:r>
          </w:p>
        </w:tc>
        <w:tc>
          <w:tcPr>
            <w:tcW w:type="dxa" w:w="1378"/>
            <w:shd w:val="clear" w:fill="EEF2F8"/>
          </w:tcPr>
          <w:p>
            <w:pPr>
              <w:jc w:val="center"/>
            </w:pPr>
            <w:r/>
            <w:r>
              <w:rPr>
                <w:sz w:val="17"/>
              </w:rPr>
              <w:t>0.154</w:t>
            </w:r>
          </w:p>
        </w:tc>
        <w:tc>
          <w:tcPr>
            <w:tcW w:type="dxa" w:w="1378"/>
            <w:shd w:val="clear" w:fill="EEF2F8"/>
          </w:tcPr>
          <w:p>
            <w:pPr>
              <w:jc w:val="center"/>
            </w:pPr>
            <w:r/>
            <w:r>
              <w:rPr>
                <w:sz w:val="17"/>
              </w:rPr>
              <w:t>yes</w:t>
            </w:r>
          </w:p>
        </w:tc>
        <w:tc>
          <w:tcPr>
            <w:tcW w:type="dxa" w:w="1378"/>
            <w:shd w:val="clear" w:fill="EEF2F8"/>
          </w:tcPr>
          <w:p>
            <w:pPr>
              <w:jc w:val="center"/>
            </w:pPr>
            <w:r/>
            <w:r>
              <w:rPr>
                <w:sz w:val="17"/>
              </w:rPr>
              <w:t>no</w:t>
            </w:r>
          </w:p>
        </w:tc>
      </w:tr>
      <w:tr>
        <w:tc>
          <w:tcPr>
            <w:tcW w:type="dxa" w:w="1378"/>
          </w:tcPr>
          <w:p>
            <w:pPr>
              <w:jc w:val="left"/>
            </w:pPr>
            <w:r/>
            <w:r>
              <w:rPr>
                <w:sz w:val="17"/>
              </w:rPr>
              <w:t>KOTAKBANK/HDFCBANK</w:t>
            </w:r>
          </w:p>
        </w:tc>
        <w:tc>
          <w:tcPr>
            <w:tcW w:type="dxa" w:w="1378"/>
          </w:tcPr>
          <w:p>
            <w:pPr>
              <w:jc w:val="center"/>
            </w:pPr>
            <w:r/>
            <w:r>
              <w:rPr>
                <w:sz w:val="17"/>
              </w:rPr>
              <w:t>20.0</w:t>
            </w:r>
          </w:p>
        </w:tc>
        <w:tc>
          <w:tcPr>
            <w:tcW w:type="dxa" w:w="1378"/>
          </w:tcPr>
          <w:p>
            <w:pPr>
              <w:jc w:val="center"/>
            </w:pPr>
            <w:r/>
            <w:r>
              <w:rPr>
                <w:sz w:val="17"/>
              </w:rPr>
              <w:t>0.872</w:t>
            </w:r>
          </w:p>
        </w:tc>
        <w:tc>
          <w:tcPr>
            <w:tcW w:type="dxa" w:w="1378"/>
          </w:tcPr>
          <w:p>
            <w:pPr>
              <w:jc w:val="center"/>
            </w:pPr>
            <w:r/>
            <w:r>
              <w:rPr>
                <w:sz w:val="17"/>
              </w:rPr>
              <w:t>0.039</w:t>
            </w:r>
          </w:p>
        </w:tc>
        <w:tc>
          <w:tcPr>
            <w:tcW w:type="dxa" w:w="1378"/>
          </w:tcPr>
          <w:p>
            <w:pPr>
              <w:jc w:val="center"/>
            </w:pPr>
            <w:r/>
            <w:r>
              <w:rPr>
                <w:sz w:val="17"/>
              </w:rPr>
              <w:t>0.044</w:t>
            </w:r>
          </w:p>
        </w:tc>
        <w:tc>
          <w:tcPr>
            <w:tcW w:type="dxa" w:w="1378"/>
          </w:tcPr>
          <w:p>
            <w:pPr>
              <w:jc w:val="center"/>
            </w:pPr>
            <w:r/>
            <w:r>
              <w:rPr>
                <w:sz w:val="17"/>
              </w:rPr>
              <w:t>yes</w:t>
            </w:r>
          </w:p>
        </w:tc>
        <w:tc>
          <w:tcPr>
            <w:tcW w:type="dxa" w:w="1378"/>
          </w:tcPr>
          <w:p>
            <w:pPr>
              <w:jc w:val="center"/>
            </w:pPr>
            <w:r/>
            <w:r>
              <w:rPr>
                <w:sz w:val="17"/>
              </w:rPr>
              <w:t>no</w:t>
            </w:r>
          </w:p>
        </w:tc>
      </w:tr>
      <w:tr>
        <w:tc>
          <w:tcPr>
            <w:tcW w:type="dxa" w:w="1378"/>
            <w:shd w:val="clear" w:fill="EEF2F8"/>
          </w:tcPr>
          <w:p>
            <w:pPr>
              <w:jc w:val="left"/>
            </w:pPr>
            <w:r/>
            <w:r>
              <w:rPr>
                <w:sz w:val="17"/>
              </w:rPr>
              <w:t>KOTAKBANK/HDFCBANK</w:t>
            </w:r>
          </w:p>
        </w:tc>
        <w:tc>
          <w:tcPr>
            <w:tcW w:type="dxa" w:w="1378"/>
            <w:shd w:val="clear" w:fill="EEF2F8"/>
          </w:tcPr>
          <w:p>
            <w:pPr>
              <w:jc w:val="center"/>
            </w:pPr>
            <w:r/>
            <w:r>
              <w:rPr>
                <w:sz w:val="17"/>
              </w:rPr>
              <w:t>10.0</w:t>
            </w:r>
          </w:p>
        </w:tc>
        <w:tc>
          <w:tcPr>
            <w:tcW w:type="dxa" w:w="1378"/>
            <w:shd w:val="clear" w:fill="EEF2F8"/>
          </w:tcPr>
          <w:p>
            <w:pPr>
              <w:jc w:val="center"/>
            </w:pPr>
            <w:r/>
            <w:r>
              <w:rPr>
                <w:sz w:val="17"/>
              </w:rPr>
              <w:t>0.872</w:t>
            </w:r>
          </w:p>
        </w:tc>
        <w:tc>
          <w:tcPr>
            <w:tcW w:type="dxa" w:w="1378"/>
            <w:shd w:val="clear" w:fill="EEF2F8"/>
          </w:tcPr>
          <w:p>
            <w:pPr>
              <w:jc w:val="center"/>
            </w:pPr>
            <w:r/>
            <w:r>
              <w:rPr>
                <w:sz w:val="17"/>
              </w:rPr>
              <w:t>-0.158</w:t>
            </w:r>
          </w:p>
        </w:tc>
        <w:tc>
          <w:tcPr>
            <w:tcW w:type="dxa" w:w="1378"/>
            <w:shd w:val="clear" w:fill="EEF2F8"/>
          </w:tcPr>
          <w:p>
            <w:pPr>
              <w:jc w:val="center"/>
            </w:pPr>
            <w:r/>
            <w:r>
              <w:rPr>
                <w:sz w:val="17"/>
              </w:rPr>
              <w:t>-0.181</w:t>
            </w:r>
          </w:p>
        </w:tc>
        <w:tc>
          <w:tcPr>
            <w:tcW w:type="dxa" w:w="1378"/>
            <w:shd w:val="clear" w:fill="EEF2F8"/>
          </w:tcPr>
          <w:p>
            <w:pPr>
              <w:jc w:val="center"/>
            </w:pPr>
            <w:r/>
            <w:r>
              <w:rPr>
                <w:sz w:val="17"/>
              </w:rPr>
              <w:t>yes</w:t>
            </w:r>
          </w:p>
        </w:tc>
        <w:tc>
          <w:tcPr>
            <w:tcW w:type="dxa" w:w="1378"/>
            <w:shd w:val="clear" w:fill="EEF2F8"/>
          </w:tcPr>
          <w:p>
            <w:pPr>
              <w:jc w:val="center"/>
            </w:pPr>
            <w:r/>
            <w:r>
              <w:rPr>
                <w:sz w:val="17"/>
              </w:rPr>
              <w:t>no</w:t>
            </w:r>
          </w:p>
        </w:tc>
      </w:tr>
      <w:tr>
        <w:tc>
          <w:tcPr>
            <w:tcW w:type="dxa" w:w="1378"/>
          </w:tcPr>
          <w:p>
            <w:pPr>
              <w:jc w:val="left"/>
            </w:pPr>
            <w:r/>
            <w:r>
              <w:rPr>
                <w:sz w:val="17"/>
              </w:rPr>
              <w:t>INDUSINDBK/HDFCBANK</w:t>
            </w:r>
          </w:p>
        </w:tc>
        <w:tc>
          <w:tcPr>
            <w:tcW w:type="dxa" w:w="1378"/>
          </w:tcPr>
          <w:p>
            <w:pPr>
              <w:jc w:val="center"/>
            </w:pPr>
            <w:r/>
            <w:r>
              <w:rPr>
                <w:sz w:val="17"/>
              </w:rPr>
              <w:t>inf</w:t>
            </w:r>
          </w:p>
        </w:tc>
        <w:tc>
          <w:tcPr>
            <w:tcW w:type="dxa" w:w="1378"/>
          </w:tcPr>
          <w:p>
            <w:pPr>
              <w:jc w:val="center"/>
            </w:pPr>
            <w:r/>
            <w:r>
              <w:rPr>
                <w:sz w:val="17"/>
              </w:rPr>
              <w:t>1.138</w:t>
            </w:r>
          </w:p>
        </w:tc>
        <w:tc>
          <w:tcPr>
            <w:tcW w:type="dxa" w:w="1378"/>
          </w:tcPr>
          <w:p>
            <w:pPr>
              <w:jc w:val="center"/>
            </w:pPr>
            <w:r/>
            <w:r>
              <w:rPr>
                <w:sz w:val="17"/>
              </w:rPr>
              <w:t>1.138</w:t>
            </w:r>
          </w:p>
        </w:tc>
        <w:tc>
          <w:tcPr>
            <w:tcW w:type="dxa" w:w="1378"/>
          </w:tcPr>
          <w:p>
            <w:pPr>
              <w:jc w:val="center"/>
            </w:pPr>
            <w:r/>
            <w:r>
              <w:rPr>
                <w:sz w:val="17"/>
              </w:rPr>
              <w:t>1.000</w:t>
            </w:r>
          </w:p>
        </w:tc>
        <w:tc>
          <w:tcPr>
            <w:tcW w:type="dxa" w:w="1378"/>
          </w:tcPr>
          <w:p>
            <w:pPr>
              <w:jc w:val="center"/>
            </w:pPr>
            <w:r/>
            <w:r>
              <w:rPr>
                <w:sz w:val="17"/>
              </w:rPr>
              <w:t>no</w:t>
            </w:r>
          </w:p>
        </w:tc>
        <w:tc>
          <w:tcPr>
            <w:tcW w:type="dxa" w:w="1378"/>
          </w:tcPr>
          <w:p>
            <w:pPr>
              <w:jc w:val="center"/>
            </w:pPr>
            <w:r/>
            <w:r>
              <w:rPr>
                <w:sz w:val="17"/>
              </w:rPr>
              <w:t>yes</w:t>
            </w:r>
          </w:p>
        </w:tc>
      </w:tr>
      <w:tr>
        <w:tc>
          <w:tcPr>
            <w:tcW w:type="dxa" w:w="1378"/>
            <w:shd w:val="clear" w:fill="EEF2F8"/>
          </w:tcPr>
          <w:p>
            <w:pPr>
              <w:jc w:val="left"/>
            </w:pPr>
            <w:r/>
            <w:r>
              <w:rPr>
                <w:sz w:val="17"/>
              </w:rPr>
              <w:t>INDUSINDBK/HDFCBANK</w:t>
            </w:r>
          </w:p>
        </w:tc>
        <w:tc>
          <w:tcPr>
            <w:tcW w:type="dxa" w:w="1378"/>
            <w:shd w:val="clear" w:fill="EEF2F8"/>
          </w:tcPr>
          <w:p>
            <w:pPr>
              <w:jc w:val="center"/>
            </w:pPr>
            <w:r/>
            <w:r>
              <w:rPr>
                <w:sz w:val="17"/>
              </w:rPr>
              <w:t>40.0</w:t>
            </w:r>
          </w:p>
        </w:tc>
        <w:tc>
          <w:tcPr>
            <w:tcW w:type="dxa" w:w="1378"/>
            <w:shd w:val="clear" w:fill="EEF2F8"/>
          </w:tcPr>
          <w:p>
            <w:pPr>
              <w:jc w:val="center"/>
            </w:pPr>
            <w:r/>
            <w:r>
              <w:rPr>
                <w:sz w:val="17"/>
              </w:rPr>
              <w:t>1.138</w:t>
            </w:r>
          </w:p>
        </w:tc>
        <w:tc>
          <w:tcPr>
            <w:tcW w:type="dxa" w:w="1378"/>
            <w:shd w:val="clear" w:fill="EEF2F8"/>
          </w:tcPr>
          <w:p>
            <w:pPr>
              <w:jc w:val="center"/>
            </w:pPr>
            <w:r/>
            <w:r>
              <w:rPr>
                <w:sz w:val="17"/>
              </w:rPr>
              <w:t>0.209</w:t>
            </w:r>
          </w:p>
        </w:tc>
        <w:tc>
          <w:tcPr>
            <w:tcW w:type="dxa" w:w="1378"/>
            <w:shd w:val="clear" w:fill="EEF2F8"/>
          </w:tcPr>
          <w:p>
            <w:pPr>
              <w:jc w:val="center"/>
            </w:pPr>
            <w:r/>
            <w:r>
              <w:rPr>
                <w:sz w:val="17"/>
              </w:rPr>
              <w:t>0.184</w:t>
            </w:r>
          </w:p>
        </w:tc>
        <w:tc>
          <w:tcPr>
            <w:tcW w:type="dxa" w:w="1378"/>
            <w:shd w:val="clear" w:fill="EEF2F8"/>
          </w:tcPr>
          <w:p>
            <w:pPr>
              <w:jc w:val="center"/>
            </w:pPr>
            <w:r/>
            <w:r>
              <w:rPr>
                <w:sz w:val="17"/>
              </w:rPr>
              <w:t>yes</w:t>
            </w:r>
          </w:p>
        </w:tc>
        <w:tc>
          <w:tcPr>
            <w:tcW w:type="dxa" w:w="1378"/>
            <w:shd w:val="clear" w:fill="EEF2F8"/>
          </w:tcPr>
          <w:p>
            <w:pPr>
              <w:jc w:val="center"/>
            </w:pPr>
            <w:r/>
            <w:r>
              <w:rPr>
                <w:sz w:val="17"/>
              </w:rPr>
              <w:t>no</w:t>
            </w:r>
          </w:p>
        </w:tc>
      </w:tr>
      <w:tr>
        <w:tc>
          <w:tcPr>
            <w:tcW w:type="dxa" w:w="1378"/>
          </w:tcPr>
          <w:p>
            <w:pPr>
              <w:jc w:val="left"/>
            </w:pPr>
            <w:r/>
            <w:r>
              <w:rPr>
                <w:sz w:val="17"/>
              </w:rPr>
              <w:t>INDUSINDBK/HDFCBANK</w:t>
            </w:r>
          </w:p>
        </w:tc>
        <w:tc>
          <w:tcPr>
            <w:tcW w:type="dxa" w:w="1378"/>
          </w:tcPr>
          <w:p>
            <w:pPr>
              <w:jc w:val="center"/>
            </w:pPr>
            <w:r/>
            <w:r>
              <w:rPr>
                <w:sz w:val="17"/>
              </w:rPr>
              <w:t>20.0</w:t>
            </w:r>
          </w:p>
        </w:tc>
        <w:tc>
          <w:tcPr>
            <w:tcW w:type="dxa" w:w="1378"/>
          </w:tcPr>
          <w:p>
            <w:pPr>
              <w:jc w:val="center"/>
            </w:pPr>
            <w:r/>
            <w:r>
              <w:rPr>
                <w:sz w:val="17"/>
              </w:rPr>
              <w:t>1.138</w:t>
            </w:r>
          </w:p>
        </w:tc>
        <w:tc>
          <w:tcPr>
            <w:tcW w:type="dxa" w:w="1378"/>
          </w:tcPr>
          <w:p>
            <w:pPr>
              <w:jc w:val="center"/>
            </w:pPr>
            <w:r/>
            <w:r>
              <w:rPr>
                <w:sz w:val="17"/>
              </w:rPr>
              <w:t>0.189</w:t>
            </w:r>
          </w:p>
        </w:tc>
        <w:tc>
          <w:tcPr>
            <w:tcW w:type="dxa" w:w="1378"/>
          </w:tcPr>
          <w:p>
            <w:pPr>
              <w:jc w:val="center"/>
            </w:pPr>
            <w:r/>
            <w:r>
              <w:rPr>
                <w:sz w:val="17"/>
              </w:rPr>
              <w:t>0.166</w:t>
            </w:r>
          </w:p>
        </w:tc>
        <w:tc>
          <w:tcPr>
            <w:tcW w:type="dxa" w:w="1378"/>
          </w:tcPr>
          <w:p>
            <w:pPr>
              <w:jc w:val="center"/>
            </w:pPr>
            <w:r/>
            <w:r>
              <w:rPr>
                <w:sz w:val="17"/>
              </w:rPr>
              <w:t>yes</w:t>
            </w:r>
          </w:p>
        </w:tc>
        <w:tc>
          <w:tcPr>
            <w:tcW w:type="dxa" w:w="1378"/>
          </w:tcPr>
          <w:p>
            <w:pPr>
              <w:jc w:val="center"/>
            </w:pPr>
            <w:r/>
            <w:r>
              <w:rPr>
                <w:sz w:val="17"/>
              </w:rPr>
              <w:t>no</w:t>
            </w:r>
          </w:p>
        </w:tc>
      </w:tr>
      <w:tr>
        <w:tc>
          <w:tcPr>
            <w:tcW w:type="dxa" w:w="1378"/>
            <w:shd w:val="clear" w:fill="EEF2F8"/>
          </w:tcPr>
          <w:p>
            <w:pPr>
              <w:jc w:val="left"/>
            </w:pPr>
            <w:r/>
            <w:r>
              <w:rPr>
                <w:sz w:val="17"/>
              </w:rPr>
              <w:t>INDUSINDBK/HDFCBANK</w:t>
            </w:r>
          </w:p>
        </w:tc>
        <w:tc>
          <w:tcPr>
            <w:tcW w:type="dxa" w:w="1378"/>
            <w:shd w:val="clear" w:fill="EEF2F8"/>
          </w:tcPr>
          <w:p>
            <w:pPr>
              <w:jc w:val="center"/>
            </w:pPr>
            <w:r/>
            <w:r>
              <w:rPr>
                <w:sz w:val="17"/>
              </w:rPr>
              <w:t>10.0</w:t>
            </w:r>
          </w:p>
        </w:tc>
        <w:tc>
          <w:tcPr>
            <w:tcW w:type="dxa" w:w="1378"/>
            <w:shd w:val="clear" w:fill="EEF2F8"/>
          </w:tcPr>
          <w:p>
            <w:pPr>
              <w:jc w:val="center"/>
            </w:pPr>
            <w:r/>
            <w:r>
              <w:rPr>
                <w:sz w:val="17"/>
              </w:rPr>
              <w:t>1.138</w:t>
            </w:r>
          </w:p>
        </w:tc>
        <w:tc>
          <w:tcPr>
            <w:tcW w:type="dxa" w:w="1378"/>
            <w:shd w:val="clear" w:fill="EEF2F8"/>
          </w:tcPr>
          <w:p>
            <w:pPr>
              <w:jc w:val="center"/>
            </w:pPr>
            <w:r/>
            <w:r>
              <w:rPr>
                <w:sz w:val="17"/>
              </w:rPr>
              <w:t>0.146</w:t>
            </w:r>
          </w:p>
        </w:tc>
        <w:tc>
          <w:tcPr>
            <w:tcW w:type="dxa" w:w="1378"/>
            <w:shd w:val="clear" w:fill="EEF2F8"/>
          </w:tcPr>
          <w:p>
            <w:pPr>
              <w:jc w:val="center"/>
            </w:pPr>
            <w:r/>
            <w:r>
              <w:rPr>
                <w:sz w:val="17"/>
              </w:rPr>
              <w:t>0.128</w:t>
            </w:r>
          </w:p>
        </w:tc>
        <w:tc>
          <w:tcPr>
            <w:tcW w:type="dxa" w:w="1378"/>
            <w:shd w:val="clear" w:fill="EEF2F8"/>
          </w:tcPr>
          <w:p>
            <w:pPr>
              <w:jc w:val="center"/>
            </w:pPr>
            <w:r/>
            <w:r>
              <w:rPr>
                <w:sz w:val="17"/>
              </w:rPr>
              <w:t>yes</w:t>
            </w:r>
          </w:p>
        </w:tc>
        <w:tc>
          <w:tcPr>
            <w:tcW w:type="dxa" w:w="1378"/>
            <w:shd w:val="clear" w:fill="EEF2F8"/>
          </w:tcPr>
          <w:p>
            <w:pPr>
              <w:jc w:val="center"/>
            </w:pPr>
            <w:r/>
            <w:r>
              <w:rPr>
                <w:sz w:val="17"/>
              </w:rPr>
              <w:t>no</w:t>
            </w:r>
          </w:p>
        </w:tc>
      </w:tr>
    </w:tbl>
    <w:p>
      <w:pPr>
        <w:spacing w:after="120"/>
      </w:pPr>
    </w:p>
    <w:p>
      <w:pPr>
        <w:jc w:val="center"/>
      </w:pPr>
    </w:p>
    <w:p>
      <w:pPr>
        <w:jc w:val="center"/>
      </w:pPr>
      <w:r>
        <w:drawing>
          <wp:inline xmlns:a="http://schemas.openxmlformats.org/drawingml/2006/main" xmlns:pic="http://schemas.openxmlformats.org/drawingml/2006/picture">
            <wp:extent cx="5303520" cy="2671570"/>
            <wp:docPr id="16" name="Picture 16"/>
            <wp:cNvGraphicFramePr>
              <a:graphicFrameLocks noChangeAspect="1"/>
            </wp:cNvGraphicFramePr>
            <a:graphic>
              <a:graphicData uri="http://schemas.openxmlformats.org/drawingml/2006/picture">
                <pic:pic>
                  <pic:nvPicPr>
                    <pic:cNvPr id="0" name="beta_paths_f5.png"/>
                    <pic:cNvPicPr/>
                  </pic:nvPicPr>
                  <pic:blipFill>
                    <a:blip r:embed="rId24"/>
                    <a:stretch>
                      <a:fillRect/>
                    </a:stretch>
                  </pic:blipFill>
                  <pic:spPr>
                    <a:xfrm>
                      <a:off x="0" y="0"/>
                      <a:ext cx="5303520" cy="2671570"/>
                    </a:xfrm>
                    <a:prstGeom prst="rect"/>
                  </pic:spPr>
                </pic:pic>
              </a:graphicData>
            </a:graphic>
          </wp:inline>
        </w:drawing>
      </w:r>
    </w:p>
    <w:p>
      <w:pPr>
        <w:spacing w:after="200"/>
        <w:jc w:val="center"/>
      </w:pPr>
      <w:r>
        <w:rPr>
          <w:b/>
          <w:color w:val="2E5A88"/>
          <w:sz w:val="18"/>
        </w:rPr>
        <w:t xml:space="preserve">Figure 16. </w:t>
      </w:r>
      <w:r>
        <w:rPr>
          <w:i/>
          <w:color w:val="555555"/>
          <w:sz w:val="18"/>
        </w:rPr>
        <w:t>β tracking paths (5-min). Every finite horizon collapses the hedge ratio toward zero — weak intraday identification.</w:t>
      </w:r>
    </w:p>
    <w:p>
      <w:pPr>
        <w:pStyle w:val="Heading2"/>
      </w:pPr>
      <w:r>
        <w:rPr>
          <w:color w:val="1F3255"/>
        </w:rPr>
        <w:t>5.7  Phase 4 — rolling cointegration-stability gate</w:t>
      </w:r>
    </w:p>
    <w:p>
      <w:pPr>
        <w:spacing w:after="120"/>
      </w:pPr>
      <w:r>
        <w:rPr>
          <w:b w:val="0"/>
          <w:i w:val="0"/>
          <w:sz w:val="21"/>
        </w:rPr>
        <w:t>A rolling-ADF gate on the frozen-(α,β) residual blacklists a pair after three consecutive non-stationary windows. At the default it fires on 19/19 NSE pair-folds — including both traded survivors — and the sensitivity sweep shows this is robust, not a threshold accident (15/19 still gate even at the lenient p&gt;0.50 / 120-day setting). Two forces are entangled and cannot be separated on n=2: genuinely marginal cointegration, and low ADF power on short windows. The gate is correct and tested but uncalibratable on this universe — it is marked [TODO]-pending-breadth.</w:t>
      </w:r>
    </w:p>
    <w:p>
      <w:pPr>
        <w:spacing w:after="60"/>
      </w:pPr>
      <w:r>
        <w:rPr>
          <w:b/>
          <w:color w:val="2E5A88"/>
          <w:sz w:val="18"/>
        </w:rPr>
        <w:t xml:space="preserve">Table 10. </w:t>
      </w:r>
      <w:r>
        <w:rPr>
          <w:i/>
          <w:color w:val="555555"/>
          <w:sz w:val="18"/>
        </w:rPr>
        <w:t>Gate sensitivity (reports/phase4/coint_stability/threshold_sensitivity.csv).</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255"/>
          </w:tcPr>
          <w:p>
            <w:pPr>
              <w:jc w:val="left"/>
            </w:pPr>
            <w:r/>
            <w:r>
              <w:rPr>
                <w:b/>
                <w:color w:val="FFFFFF"/>
                <w:sz w:val="18"/>
              </w:rPr>
              <w:t>window</w:t>
            </w:r>
          </w:p>
        </w:tc>
        <w:tc>
          <w:tcPr>
            <w:tcW w:type="dxa" w:w="1930"/>
            <w:shd w:val="clear" w:fill="1F3255"/>
          </w:tcPr>
          <w:p>
            <w:pPr>
              <w:jc w:val="center"/>
            </w:pPr>
            <w:r/>
            <w:r>
              <w:rPr>
                <w:b/>
                <w:color w:val="FFFFFF"/>
                <w:sz w:val="18"/>
              </w:rPr>
              <w:t>ADF p&gt;</w:t>
            </w:r>
          </w:p>
        </w:tc>
        <w:tc>
          <w:tcPr>
            <w:tcW w:type="dxa" w:w="1930"/>
            <w:shd w:val="clear" w:fill="1F3255"/>
          </w:tcPr>
          <w:p>
            <w:pPr>
              <w:jc w:val="center"/>
            </w:pPr>
            <w:r/>
            <w:r>
              <w:rPr>
                <w:b/>
                <w:color w:val="FFFFFF"/>
                <w:sz w:val="18"/>
              </w:rPr>
              <w:t>consec</w:t>
            </w:r>
          </w:p>
        </w:tc>
        <w:tc>
          <w:tcPr>
            <w:tcW w:type="dxa" w:w="1930"/>
            <w:shd w:val="clear" w:fill="1F3255"/>
          </w:tcPr>
          <w:p>
            <w:pPr>
              <w:jc w:val="center"/>
            </w:pPr>
            <w:r/>
            <w:r>
              <w:rPr>
                <w:b/>
                <w:color w:val="FFFFFF"/>
                <w:sz w:val="18"/>
              </w:rPr>
              <w:t>gated</w:t>
            </w:r>
          </w:p>
        </w:tc>
        <w:tc>
          <w:tcPr>
            <w:tcW w:type="dxa" w:w="1930"/>
            <w:shd w:val="clear" w:fill="1F3255"/>
          </w:tcPr>
          <w:p>
            <w:pPr>
              <w:jc w:val="center"/>
            </w:pPr>
            <w:r/>
            <w:r>
              <w:rPr>
                <w:b/>
                <w:color w:val="FFFFFF"/>
                <w:sz w:val="18"/>
              </w:rPr>
              <w:t>frac gated</w:t>
            </w:r>
          </w:p>
        </w:tc>
      </w:tr>
      <w:tr>
        <w:tc>
          <w:tcPr>
            <w:tcW w:type="dxa" w:w="1930"/>
          </w:tcPr>
          <w:p>
            <w:pPr>
              <w:jc w:val="left"/>
            </w:pPr>
            <w:r/>
            <w:r>
              <w:rPr>
                <w:sz w:val="18"/>
              </w:rPr>
              <w:t>60</w:t>
            </w:r>
          </w:p>
        </w:tc>
        <w:tc>
          <w:tcPr>
            <w:tcW w:type="dxa" w:w="1930"/>
          </w:tcPr>
          <w:p>
            <w:pPr>
              <w:jc w:val="center"/>
            </w:pPr>
            <w:r/>
            <w:r>
              <w:rPr>
                <w:sz w:val="18"/>
              </w:rPr>
              <w:t>0.05</w:t>
            </w:r>
          </w:p>
        </w:tc>
        <w:tc>
          <w:tcPr>
            <w:tcW w:type="dxa" w:w="1930"/>
          </w:tcPr>
          <w:p>
            <w:pPr>
              <w:jc w:val="center"/>
            </w:pPr>
            <w:r/>
            <w:r>
              <w:rPr>
                <w:sz w:val="18"/>
              </w:rPr>
              <w:t>3</w:t>
            </w:r>
          </w:p>
        </w:tc>
        <w:tc>
          <w:tcPr>
            <w:tcW w:type="dxa" w:w="1930"/>
          </w:tcPr>
          <w:p>
            <w:pPr>
              <w:jc w:val="center"/>
            </w:pPr>
            <w:r/>
            <w:r>
              <w:rPr>
                <w:sz w:val="18"/>
              </w:rPr>
              <w:t>19</w:t>
            </w:r>
          </w:p>
        </w:tc>
        <w:tc>
          <w:tcPr>
            <w:tcW w:type="dxa" w:w="1930"/>
          </w:tcPr>
          <w:p>
            <w:pPr>
              <w:jc w:val="center"/>
            </w:pPr>
            <w:r/>
            <w:r>
              <w:rPr>
                <w:sz w:val="18"/>
              </w:rPr>
              <w:t>1.000</w:t>
            </w:r>
          </w:p>
        </w:tc>
      </w:tr>
      <w:tr>
        <w:tc>
          <w:tcPr>
            <w:tcW w:type="dxa" w:w="1930"/>
            <w:shd w:val="clear" w:fill="EEF2F8"/>
          </w:tcPr>
          <w:p>
            <w:pPr>
              <w:jc w:val="left"/>
            </w:pPr>
            <w:r/>
            <w:r>
              <w:rPr>
                <w:sz w:val="18"/>
              </w:rPr>
              <w:t>60</w:t>
            </w:r>
          </w:p>
        </w:tc>
        <w:tc>
          <w:tcPr>
            <w:tcW w:type="dxa" w:w="1930"/>
            <w:shd w:val="clear" w:fill="EEF2F8"/>
          </w:tcPr>
          <w:p>
            <w:pPr>
              <w:jc w:val="center"/>
            </w:pPr>
            <w:r/>
            <w:r>
              <w:rPr>
                <w:sz w:val="18"/>
              </w:rPr>
              <w:t>0.10</w:t>
            </w:r>
          </w:p>
        </w:tc>
        <w:tc>
          <w:tcPr>
            <w:tcW w:type="dxa" w:w="1930"/>
            <w:shd w:val="clear" w:fill="EEF2F8"/>
          </w:tcPr>
          <w:p>
            <w:pPr>
              <w:jc w:val="center"/>
            </w:pPr>
            <w:r/>
            <w:r>
              <w:rPr>
                <w:sz w:val="18"/>
              </w:rPr>
              <w:t>3</w:t>
            </w:r>
          </w:p>
        </w:tc>
        <w:tc>
          <w:tcPr>
            <w:tcW w:type="dxa" w:w="1930"/>
            <w:shd w:val="clear" w:fill="EEF2F8"/>
          </w:tcPr>
          <w:p>
            <w:pPr>
              <w:jc w:val="center"/>
            </w:pPr>
            <w:r/>
            <w:r>
              <w:rPr>
                <w:sz w:val="18"/>
              </w:rPr>
              <w:t>19</w:t>
            </w:r>
          </w:p>
        </w:tc>
        <w:tc>
          <w:tcPr>
            <w:tcW w:type="dxa" w:w="1930"/>
            <w:shd w:val="clear" w:fill="EEF2F8"/>
          </w:tcPr>
          <w:p>
            <w:pPr>
              <w:jc w:val="center"/>
            </w:pPr>
            <w:r/>
            <w:r>
              <w:rPr>
                <w:sz w:val="18"/>
              </w:rPr>
              <w:t>1.000</w:t>
            </w:r>
          </w:p>
        </w:tc>
      </w:tr>
      <w:tr>
        <w:tc>
          <w:tcPr>
            <w:tcW w:type="dxa" w:w="1930"/>
          </w:tcPr>
          <w:p>
            <w:pPr>
              <w:jc w:val="left"/>
            </w:pPr>
            <w:r/>
            <w:r>
              <w:rPr>
                <w:sz w:val="18"/>
              </w:rPr>
              <w:t>60</w:t>
            </w:r>
          </w:p>
        </w:tc>
        <w:tc>
          <w:tcPr>
            <w:tcW w:type="dxa" w:w="1930"/>
          </w:tcPr>
          <w:p>
            <w:pPr>
              <w:jc w:val="center"/>
            </w:pPr>
            <w:r/>
            <w:r>
              <w:rPr>
                <w:sz w:val="18"/>
              </w:rPr>
              <w:t>0.25</w:t>
            </w:r>
          </w:p>
        </w:tc>
        <w:tc>
          <w:tcPr>
            <w:tcW w:type="dxa" w:w="1930"/>
          </w:tcPr>
          <w:p>
            <w:pPr>
              <w:jc w:val="center"/>
            </w:pPr>
            <w:r/>
            <w:r>
              <w:rPr>
                <w:sz w:val="18"/>
              </w:rPr>
              <w:t>3</w:t>
            </w:r>
          </w:p>
        </w:tc>
        <w:tc>
          <w:tcPr>
            <w:tcW w:type="dxa" w:w="1930"/>
          </w:tcPr>
          <w:p>
            <w:pPr>
              <w:jc w:val="center"/>
            </w:pPr>
            <w:r/>
            <w:r>
              <w:rPr>
                <w:sz w:val="18"/>
              </w:rPr>
              <w:t>19</w:t>
            </w:r>
          </w:p>
        </w:tc>
        <w:tc>
          <w:tcPr>
            <w:tcW w:type="dxa" w:w="1930"/>
          </w:tcPr>
          <w:p>
            <w:pPr>
              <w:jc w:val="center"/>
            </w:pPr>
            <w:r/>
            <w:r>
              <w:rPr>
                <w:sz w:val="18"/>
              </w:rPr>
              <w:t>1.000</w:t>
            </w:r>
          </w:p>
        </w:tc>
      </w:tr>
      <w:tr>
        <w:tc>
          <w:tcPr>
            <w:tcW w:type="dxa" w:w="1930"/>
            <w:shd w:val="clear" w:fill="EEF2F8"/>
          </w:tcPr>
          <w:p>
            <w:pPr>
              <w:jc w:val="left"/>
            </w:pPr>
            <w:r/>
            <w:r>
              <w:rPr>
                <w:sz w:val="18"/>
              </w:rPr>
              <w:t>60</w:t>
            </w:r>
          </w:p>
        </w:tc>
        <w:tc>
          <w:tcPr>
            <w:tcW w:type="dxa" w:w="1930"/>
            <w:shd w:val="clear" w:fill="EEF2F8"/>
          </w:tcPr>
          <w:p>
            <w:pPr>
              <w:jc w:val="center"/>
            </w:pPr>
            <w:r/>
            <w:r>
              <w:rPr>
                <w:sz w:val="18"/>
              </w:rPr>
              <w:t>0.50</w:t>
            </w:r>
          </w:p>
        </w:tc>
        <w:tc>
          <w:tcPr>
            <w:tcW w:type="dxa" w:w="1930"/>
            <w:shd w:val="clear" w:fill="EEF2F8"/>
          </w:tcPr>
          <w:p>
            <w:pPr>
              <w:jc w:val="center"/>
            </w:pPr>
            <w:r/>
            <w:r>
              <w:rPr>
                <w:sz w:val="18"/>
              </w:rPr>
              <w:t>3</w:t>
            </w:r>
          </w:p>
        </w:tc>
        <w:tc>
          <w:tcPr>
            <w:tcW w:type="dxa" w:w="1930"/>
            <w:shd w:val="clear" w:fill="EEF2F8"/>
          </w:tcPr>
          <w:p>
            <w:pPr>
              <w:jc w:val="center"/>
            </w:pPr>
            <w:r/>
            <w:r>
              <w:rPr>
                <w:sz w:val="18"/>
              </w:rPr>
              <w:t>19</w:t>
            </w:r>
          </w:p>
        </w:tc>
        <w:tc>
          <w:tcPr>
            <w:tcW w:type="dxa" w:w="1930"/>
            <w:shd w:val="clear" w:fill="EEF2F8"/>
          </w:tcPr>
          <w:p>
            <w:pPr>
              <w:jc w:val="center"/>
            </w:pPr>
            <w:r/>
            <w:r>
              <w:rPr>
                <w:sz w:val="18"/>
              </w:rPr>
              <w:t>1.000</w:t>
            </w:r>
          </w:p>
        </w:tc>
      </w:tr>
      <w:tr>
        <w:tc>
          <w:tcPr>
            <w:tcW w:type="dxa" w:w="1930"/>
          </w:tcPr>
          <w:p>
            <w:pPr>
              <w:jc w:val="left"/>
            </w:pPr>
            <w:r/>
            <w:r>
              <w:rPr>
                <w:sz w:val="18"/>
              </w:rPr>
              <w:t>120</w:t>
            </w:r>
          </w:p>
        </w:tc>
        <w:tc>
          <w:tcPr>
            <w:tcW w:type="dxa" w:w="1930"/>
          </w:tcPr>
          <w:p>
            <w:pPr>
              <w:jc w:val="center"/>
            </w:pPr>
            <w:r/>
            <w:r>
              <w:rPr>
                <w:sz w:val="18"/>
              </w:rPr>
              <w:t>0.05</w:t>
            </w:r>
          </w:p>
        </w:tc>
        <w:tc>
          <w:tcPr>
            <w:tcW w:type="dxa" w:w="1930"/>
          </w:tcPr>
          <w:p>
            <w:pPr>
              <w:jc w:val="center"/>
            </w:pPr>
            <w:r/>
            <w:r>
              <w:rPr>
                <w:sz w:val="18"/>
              </w:rPr>
              <w:t>3</w:t>
            </w:r>
          </w:p>
        </w:tc>
        <w:tc>
          <w:tcPr>
            <w:tcW w:type="dxa" w:w="1930"/>
          </w:tcPr>
          <w:p>
            <w:pPr>
              <w:jc w:val="center"/>
            </w:pPr>
            <w:r/>
            <w:r>
              <w:rPr>
                <w:sz w:val="18"/>
              </w:rPr>
              <w:t>19</w:t>
            </w:r>
          </w:p>
        </w:tc>
        <w:tc>
          <w:tcPr>
            <w:tcW w:type="dxa" w:w="1930"/>
          </w:tcPr>
          <w:p>
            <w:pPr>
              <w:jc w:val="center"/>
            </w:pPr>
            <w:r/>
            <w:r>
              <w:rPr>
                <w:sz w:val="18"/>
              </w:rPr>
              <w:t>1.000</w:t>
            </w:r>
          </w:p>
        </w:tc>
      </w:tr>
      <w:tr>
        <w:tc>
          <w:tcPr>
            <w:tcW w:type="dxa" w:w="1930"/>
            <w:shd w:val="clear" w:fill="EEF2F8"/>
          </w:tcPr>
          <w:p>
            <w:pPr>
              <w:jc w:val="left"/>
            </w:pPr>
            <w:r/>
            <w:r>
              <w:rPr>
                <w:sz w:val="18"/>
              </w:rPr>
              <w:t>120</w:t>
            </w:r>
          </w:p>
        </w:tc>
        <w:tc>
          <w:tcPr>
            <w:tcW w:type="dxa" w:w="1930"/>
            <w:shd w:val="clear" w:fill="EEF2F8"/>
          </w:tcPr>
          <w:p>
            <w:pPr>
              <w:jc w:val="center"/>
            </w:pPr>
            <w:r/>
            <w:r>
              <w:rPr>
                <w:sz w:val="18"/>
              </w:rPr>
              <w:t>0.10</w:t>
            </w:r>
          </w:p>
        </w:tc>
        <w:tc>
          <w:tcPr>
            <w:tcW w:type="dxa" w:w="1930"/>
            <w:shd w:val="clear" w:fill="EEF2F8"/>
          </w:tcPr>
          <w:p>
            <w:pPr>
              <w:jc w:val="center"/>
            </w:pPr>
            <w:r/>
            <w:r>
              <w:rPr>
                <w:sz w:val="18"/>
              </w:rPr>
              <w:t>3</w:t>
            </w:r>
          </w:p>
        </w:tc>
        <w:tc>
          <w:tcPr>
            <w:tcW w:type="dxa" w:w="1930"/>
            <w:shd w:val="clear" w:fill="EEF2F8"/>
          </w:tcPr>
          <w:p>
            <w:pPr>
              <w:jc w:val="center"/>
            </w:pPr>
            <w:r/>
            <w:r>
              <w:rPr>
                <w:sz w:val="18"/>
              </w:rPr>
              <w:t>19</w:t>
            </w:r>
          </w:p>
        </w:tc>
        <w:tc>
          <w:tcPr>
            <w:tcW w:type="dxa" w:w="1930"/>
            <w:shd w:val="clear" w:fill="EEF2F8"/>
          </w:tcPr>
          <w:p>
            <w:pPr>
              <w:jc w:val="center"/>
            </w:pPr>
            <w:r/>
            <w:r>
              <w:rPr>
                <w:sz w:val="18"/>
              </w:rPr>
              <w:t>1.000</w:t>
            </w:r>
          </w:p>
        </w:tc>
      </w:tr>
      <w:tr>
        <w:tc>
          <w:tcPr>
            <w:tcW w:type="dxa" w:w="1930"/>
          </w:tcPr>
          <w:p>
            <w:pPr>
              <w:jc w:val="left"/>
            </w:pPr>
            <w:r/>
            <w:r>
              <w:rPr>
                <w:sz w:val="18"/>
              </w:rPr>
              <w:t>120</w:t>
            </w:r>
          </w:p>
        </w:tc>
        <w:tc>
          <w:tcPr>
            <w:tcW w:type="dxa" w:w="1930"/>
          </w:tcPr>
          <w:p>
            <w:pPr>
              <w:jc w:val="center"/>
            </w:pPr>
            <w:r/>
            <w:r>
              <w:rPr>
                <w:sz w:val="18"/>
              </w:rPr>
              <w:t>0.25</w:t>
            </w:r>
          </w:p>
        </w:tc>
        <w:tc>
          <w:tcPr>
            <w:tcW w:type="dxa" w:w="1930"/>
          </w:tcPr>
          <w:p>
            <w:pPr>
              <w:jc w:val="center"/>
            </w:pPr>
            <w:r/>
            <w:r>
              <w:rPr>
                <w:sz w:val="18"/>
              </w:rPr>
              <w:t>3</w:t>
            </w:r>
          </w:p>
        </w:tc>
        <w:tc>
          <w:tcPr>
            <w:tcW w:type="dxa" w:w="1930"/>
          </w:tcPr>
          <w:p>
            <w:pPr>
              <w:jc w:val="center"/>
            </w:pPr>
            <w:r/>
            <w:r>
              <w:rPr>
                <w:sz w:val="18"/>
              </w:rPr>
              <w:t>18</w:t>
            </w:r>
          </w:p>
        </w:tc>
        <w:tc>
          <w:tcPr>
            <w:tcW w:type="dxa" w:w="1930"/>
          </w:tcPr>
          <w:p>
            <w:pPr>
              <w:jc w:val="center"/>
            </w:pPr>
            <w:r/>
            <w:r>
              <w:rPr>
                <w:sz w:val="18"/>
              </w:rPr>
              <w:t>0.947</w:t>
            </w:r>
          </w:p>
        </w:tc>
      </w:tr>
      <w:tr>
        <w:tc>
          <w:tcPr>
            <w:tcW w:type="dxa" w:w="1930"/>
            <w:shd w:val="clear" w:fill="EEF2F8"/>
          </w:tcPr>
          <w:p>
            <w:pPr>
              <w:jc w:val="left"/>
            </w:pPr>
            <w:r/>
            <w:r>
              <w:rPr>
                <w:sz w:val="18"/>
              </w:rPr>
              <w:t>120</w:t>
            </w:r>
          </w:p>
        </w:tc>
        <w:tc>
          <w:tcPr>
            <w:tcW w:type="dxa" w:w="1930"/>
            <w:shd w:val="clear" w:fill="EEF2F8"/>
          </w:tcPr>
          <w:p>
            <w:pPr>
              <w:jc w:val="center"/>
            </w:pPr>
            <w:r/>
            <w:r>
              <w:rPr>
                <w:sz w:val="18"/>
              </w:rPr>
              <w:t>0.50</w:t>
            </w:r>
          </w:p>
        </w:tc>
        <w:tc>
          <w:tcPr>
            <w:tcW w:type="dxa" w:w="1930"/>
            <w:shd w:val="clear" w:fill="EEF2F8"/>
          </w:tcPr>
          <w:p>
            <w:pPr>
              <w:jc w:val="center"/>
            </w:pPr>
            <w:r/>
            <w:r>
              <w:rPr>
                <w:sz w:val="18"/>
              </w:rPr>
              <w:t>3</w:t>
            </w:r>
          </w:p>
        </w:tc>
        <w:tc>
          <w:tcPr>
            <w:tcW w:type="dxa" w:w="1930"/>
            <w:shd w:val="clear" w:fill="EEF2F8"/>
          </w:tcPr>
          <w:p>
            <w:pPr>
              <w:jc w:val="center"/>
            </w:pPr>
            <w:r/>
            <w:r>
              <w:rPr>
                <w:sz w:val="18"/>
              </w:rPr>
              <w:t>15</w:t>
            </w:r>
          </w:p>
        </w:tc>
        <w:tc>
          <w:tcPr>
            <w:tcW w:type="dxa" w:w="1930"/>
            <w:shd w:val="clear" w:fill="EEF2F8"/>
          </w:tcPr>
          <w:p>
            <w:pPr>
              <w:jc w:val="center"/>
            </w:pPr>
            <w:r/>
            <w:r>
              <w:rPr>
                <w:sz w:val="18"/>
              </w:rPr>
              <w:t>0.789</w:t>
            </w:r>
          </w:p>
        </w:tc>
      </w:tr>
    </w:tbl>
    <w:p>
      <w:pPr>
        <w:spacing w:after="120"/>
      </w:pPr>
    </w:p>
    <w:p>
      <w:pPr>
        <w:jc w:val="center"/>
      </w:pPr>
    </w:p>
    <w:p>
      <w:pPr>
        <w:jc w:val="center"/>
      </w:pPr>
      <w:r>
        <w:drawing>
          <wp:inline xmlns:a="http://schemas.openxmlformats.org/drawingml/2006/main" xmlns:pic="http://schemas.openxmlformats.org/drawingml/2006/picture">
            <wp:extent cx="5303520" cy="2712093"/>
            <wp:docPr id="17" name="Picture 17"/>
            <wp:cNvGraphicFramePr>
              <a:graphicFrameLocks noChangeAspect="1"/>
            </wp:cNvGraphicFramePr>
            <a:graphic>
              <a:graphicData uri="http://schemas.openxmlformats.org/drawingml/2006/picture">
                <pic:pic>
                  <pic:nvPicPr>
                    <pic:cNvPr id="0" name="adf_pvalue_paths.png"/>
                    <pic:cNvPicPr/>
                  </pic:nvPicPr>
                  <pic:blipFill>
                    <a:blip r:embed="rId25"/>
                    <a:stretch>
                      <a:fillRect/>
                    </a:stretch>
                  </pic:blipFill>
                  <pic:spPr>
                    <a:xfrm>
                      <a:off x="0" y="0"/>
                      <a:ext cx="5303520" cy="2712093"/>
                    </a:xfrm>
                    <a:prstGeom prst="rect"/>
                  </pic:spPr>
                </pic:pic>
              </a:graphicData>
            </a:graphic>
          </wp:inline>
        </w:drawing>
      </w:r>
    </w:p>
    <w:p>
      <w:pPr>
        <w:spacing w:after="200"/>
        <w:jc w:val="center"/>
      </w:pPr>
      <w:r>
        <w:rPr>
          <w:b/>
          <w:color w:val="2E5A88"/>
          <w:sz w:val="18"/>
        </w:rPr>
        <w:t xml:space="preserve">Figure 17. </w:t>
      </w:r>
      <w:r>
        <w:rPr>
          <w:i/>
          <w:color w:val="555555"/>
          <w:sz w:val="18"/>
        </w:rPr>
        <w:t>Rolling-ADF p-value paths with the blacklist threshold. The NSE spreads drift non-stationary on rolling windows.</w:t>
      </w:r>
    </w:p>
    <w:p>
      <w:pPr>
        <w:pStyle w:val="Heading2"/>
      </w:pPr>
      <w:r>
        <w:rPr>
          <w:color w:val="1F3255"/>
        </w:rPr>
        <w:t>5.8  Phase 4 — Johansen comparison</w:t>
      </w:r>
    </w:p>
    <w:p>
      <w:pPr>
        <w:spacing w:after="120"/>
      </w:pPr>
      <w:r>
        <w:rPr>
          <w:b w:val="0"/>
          <w:i w:val="0"/>
          <w:sz w:val="21"/>
        </w:rPr>
        <w:t xml:space="preserve">On 234 common candidates, Johansen-95% selects 41 pairs vs Engle–Granger+FDR's 13 (28 new, 0 lost; Jaccard 0.32). </w:t>
      </w:r>
      <w:r>
        <w:rPr>
          <w:b/>
          <w:i w:val="0"/>
          <w:sz w:val="21"/>
        </w:rPr>
        <w:t xml:space="preserve">But the honest attribution is multiple-testing, not the estimator: </w:t>
      </w:r>
      <w:r>
        <w:rPr>
          <w:b w:val="0"/>
          <w:i w:val="0"/>
          <w:sz w:val="21"/>
        </w:rPr>
        <w:t>a fresh Engle–Granger pass reproduces the persisted FDR selection at 99.1% agreement, and Johansen's 41 sits right next to EG-raw-p&lt;0.05's 50 — the expansion is the absence of an FDR correction on the Johansen path. The 28 new pairs are unvalidated candidates and are explicitly not merged into any performance table.</w:t>
      </w:r>
    </w:p>
    <w:p>
      <w:pPr>
        <w:jc w:val="center"/>
      </w:pPr>
    </w:p>
    <w:p>
      <w:pPr>
        <w:jc w:val="center"/>
      </w:pPr>
      <w:r>
        <w:drawing>
          <wp:inline xmlns:a="http://schemas.openxmlformats.org/drawingml/2006/main" xmlns:pic="http://schemas.openxmlformats.org/drawingml/2006/picture">
            <wp:extent cx="5303520" cy="3521138"/>
            <wp:docPr id="18" name="Picture 18"/>
            <wp:cNvGraphicFramePr>
              <a:graphicFrameLocks noChangeAspect="1"/>
            </wp:cNvGraphicFramePr>
            <a:graphic>
              <a:graphicData uri="http://schemas.openxmlformats.org/drawingml/2006/picture">
                <pic:pic>
                  <pic:nvPicPr>
                    <pic:cNvPr id="0" name="eg_vs_johansen.png"/>
                    <pic:cNvPicPr/>
                  </pic:nvPicPr>
                  <pic:blipFill>
                    <a:blip r:embed="rId26"/>
                    <a:stretch>
                      <a:fillRect/>
                    </a:stretch>
                  </pic:blipFill>
                  <pic:spPr>
                    <a:xfrm>
                      <a:off x="0" y="0"/>
                      <a:ext cx="5303520" cy="3521138"/>
                    </a:xfrm>
                    <a:prstGeom prst="rect"/>
                  </pic:spPr>
                </pic:pic>
              </a:graphicData>
            </a:graphic>
          </wp:inline>
        </w:drawing>
      </w:r>
    </w:p>
    <w:p>
      <w:pPr>
        <w:spacing w:after="200"/>
        <w:jc w:val="center"/>
      </w:pPr>
      <w:r>
        <w:rPr>
          <w:b/>
          <w:color w:val="2E5A88"/>
          <w:sz w:val="18"/>
        </w:rPr>
        <w:t xml:space="preserve">Figure 18. </w:t>
      </w:r>
      <w:r>
        <w:rPr>
          <w:i/>
          <w:color w:val="555555"/>
          <w:sz w:val="18"/>
        </w:rPr>
        <w:t>Engle–Granger p-value vs Johansen trace statistic, coloured by selection (reports/phase4/johansen). The gap is the FDR correction, not order-independence.</w:t>
      </w:r>
    </w:p>
    <w:p>
      <w:pPr>
        <w:pStyle w:val="Heading2"/>
      </w:pPr>
      <w:r>
        <w:rPr>
          <w:color w:val="1F3255"/>
        </w:rPr>
        <w:t>5.9  Phase 4 — the DSR / PBO validation gate (NSE)</w:t>
      </w:r>
    </w:p>
    <w:p>
      <w:pPr>
        <w:spacing w:after="120"/>
      </w:pPr>
      <w:r>
        <w:rPr>
          <w:b w:val="0"/>
          <w:i w:val="0"/>
          <w:sz w:val="21"/>
        </w:rPr>
        <w:t>This is the primary result. Over an honest N=46 trials, only the adaptive Kalman arm clears the expected-maximum luck bar; the frozen-OU and rolling-z best cells fall below it.</w:t>
      </w:r>
    </w:p>
    <w:p>
      <w:pPr>
        <w:spacing w:after="60"/>
      </w:pPr>
      <w:r>
        <w:rPr>
          <w:b/>
          <w:color w:val="2E5A88"/>
          <w:sz w:val="18"/>
        </w:rPr>
        <w:t xml:space="preserve">Table 11. </w:t>
      </w:r>
      <w:r>
        <w:rPr>
          <w:i/>
          <w:color w:val="555555"/>
          <w:sz w:val="18"/>
        </w:rPr>
        <w:t>Deflated Sharpe Ratio, NSE matched universe, N=46 (reports/phase4/dsr_pbo/2b_dsr.csv). Only Kalman clears the bar; its p-value (0.192) is still not significant. PBO over the 24-cell matrix = 0.104 (reports/phase4/dsr_pbo/2c_pbo.csv).</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1F3255"/>
          </w:tcPr>
          <w:p>
            <w:pPr>
              <w:jc w:val="left"/>
            </w:pPr>
            <w:r/>
            <w:r>
              <w:rPr>
                <w:b/>
                <w:color w:val="FFFFFF"/>
                <w:sz w:val="18"/>
              </w:rPr>
              <w:t>engine</w:t>
            </w:r>
          </w:p>
        </w:tc>
        <w:tc>
          <w:tcPr>
            <w:tcW w:type="dxa" w:w="1378"/>
            <w:shd w:val="clear" w:fill="1F3255"/>
          </w:tcPr>
          <w:p>
            <w:pPr>
              <w:jc w:val="center"/>
            </w:pPr>
            <w:r/>
            <w:r>
              <w:rPr>
                <w:b/>
                <w:color w:val="FFFFFF"/>
                <w:sz w:val="18"/>
              </w:rPr>
              <w:t>cell</w:t>
            </w:r>
          </w:p>
        </w:tc>
        <w:tc>
          <w:tcPr>
            <w:tcW w:type="dxa" w:w="1378"/>
            <w:shd w:val="clear" w:fill="1F3255"/>
          </w:tcPr>
          <w:p>
            <w:pPr>
              <w:jc w:val="center"/>
            </w:pPr>
            <w:r/>
            <w:r>
              <w:rPr>
                <w:b/>
                <w:color w:val="FFFFFF"/>
                <w:sz w:val="18"/>
              </w:rPr>
              <w:t>ann net Sh</w:t>
            </w:r>
          </w:p>
        </w:tc>
        <w:tc>
          <w:tcPr>
            <w:tcW w:type="dxa" w:w="1378"/>
            <w:shd w:val="clear" w:fill="1F3255"/>
          </w:tcPr>
          <w:p>
            <w:pPr>
              <w:jc w:val="center"/>
            </w:pPr>
            <w:r/>
            <w:r>
              <w:rPr>
                <w:b/>
                <w:color w:val="FFFFFF"/>
                <w:sz w:val="18"/>
              </w:rPr>
              <w:t>per-period SR</w:t>
            </w:r>
          </w:p>
        </w:tc>
        <w:tc>
          <w:tcPr>
            <w:tcW w:type="dxa" w:w="1378"/>
            <w:shd w:val="clear" w:fill="1F3255"/>
          </w:tcPr>
          <w:p>
            <w:pPr>
              <w:jc w:val="center"/>
            </w:pPr>
            <w:r/>
            <w:r>
              <w:rPr>
                <w:b/>
                <w:color w:val="FFFFFF"/>
                <w:sz w:val="18"/>
              </w:rPr>
              <w:t>SR₀ bar</w:t>
            </w:r>
          </w:p>
        </w:tc>
        <w:tc>
          <w:tcPr>
            <w:tcW w:type="dxa" w:w="1378"/>
            <w:shd w:val="clear" w:fill="1F3255"/>
          </w:tcPr>
          <w:p>
            <w:pPr>
              <w:jc w:val="center"/>
            </w:pPr>
            <w:r/>
            <w:r>
              <w:rPr>
                <w:b/>
                <w:color w:val="FFFFFF"/>
                <w:sz w:val="18"/>
              </w:rPr>
              <w:t>DSR</w:t>
            </w:r>
          </w:p>
        </w:tc>
        <w:tc>
          <w:tcPr>
            <w:tcW w:type="dxa" w:w="1378"/>
            <w:shd w:val="clear" w:fill="1F3255"/>
          </w:tcPr>
          <w:p>
            <w:pPr>
              <w:jc w:val="center"/>
            </w:pPr>
            <w:r/>
            <w:r>
              <w:rPr>
                <w:b/>
                <w:color w:val="FFFFFF"/>
                <w:sz w:val="18"/>
              </w:rPr>
              <w:t>p-value</w:t>
            </w:r>
          </w:p>
        </w:tc>
      </w:tr>
      <w:tr>
        <w:tc>
          <w:tcPr>
            <w:tcW w:type="dxa" w:w="1378"/>
          </w:tcPr>
          <w:p>
            <w:pPr>
              <w:jc w:val="left"/>
            </w:pPr>
            <w:r/>
            <w:r>
              <w:rPr>
                <w:sz w:val="18"/>
              </w:rPr>
              <w:t>kalman</w:t>
            </w:r>
          </w:p>
        </w:tc>
        <w:tc>
          <w:tcPr>
            <w:tcW w:type="dxa" w:w="1378"/>
          </w:tcPr>
          <w:p>
            <w:pPr>
              <w:jc w:val="center"/>
            </w:pPr>
            <w:r/>
            <w:r>
              <w:rPr>
                <w:sz w:val="18"/>
              </w:rPr>
              <w:t>f5/c1</w:t>
            </w:r>
          </w:p>
        </w:tc>
        <w:tc>
          <w:tcPr>
            <w:tcW w:type="dxa" w:w="1378"/>
          </w:tcPr>
          <w:p>
            <w:pPr>
              <w:jc w:val="center"/>
            </w:pPr>
            <w:r/>
            <w:r>
              <w:rPr>
                <w:sz w:val="18"/>
              </w:rPr>
              <w:t>2.145</w:t>
            </w:r>
          </w:p>
        </w:tc>
        <w:tc>
          <w:tcPr>
            <w:tcW w:type="dxa" w:w="1378"/>
          </w:tcPr>
          <w:p>
            <w:pPr>
              <w:jc w:val="center"/>
            </w:pPr>
            <w:r/>
            <w:r>
              <w:rPr>
                <w:sz w:val="18"/>
              </w:rPr>
              <w:t>0.135</w:t>
            </w:r>
          </w:p>
        </w:tc>
        <w:tc>
          <w:tcPr>
            <w:tcW w:type="dxa" w:w="1378"/>
          </w:tcPr>
          <w:p>
            <w:pPr>
              <w:jc w:val="center"/>
            </w:pPr>
            <w:r/>
            <w:r>
              <w:rPr>
                <w:sz w:val="18"/>
              </w:rPr>
              <w:t>0.096</w:t>
            </w:r>
          </w:p>
        </w:tc>
        <w:tc>
          <w:tcPr>
            <w:tcW w:type="dxa" w:w="1378"/>
          </w:tcPr>
          <w:p>
            <w:pPr>
              <w:jc w:val="center"/>
            </w:pPr>
            <w:r/>
            <w:r>
              <w:rPr>
                <w:sz w:val="18"/>
              </w:rPr>
              <w:t>0.808</w:t>
            </w:r>
          </w:p>
        </w:tc>
        <w:tc>
          <w:tcPr>
            <w:tcW w:type="dxa" w:w="1378"/>
          </w:tcPr>
          <w:p>
            <w:pPr>
              <w:jc w:val="center"/>
            </w:pPr>
            <w:r/>
            <w:r>
              <w:rPr>
                <w:sz w:val="18"/>
              </w:rPr>
              <w:t>0.192</w:t>
            </w:r>
          </w:p>
        </w:tc>
      </w:tr>
      <w:tr>
        <w:tc>
          <w:tcPr>
            <w:tcW w:type="dxa" w:w="1378"/>
            <w:shd w:val="clear" w:fill="EEF2F8"/>
          </w:tcPr>
          <w:p>
            <w:pPr>
              <w:jc w:val="left"/>
            </w:pPr>
            <w:r/>
            <w:r>
              <w:rPr>
                <w:sz w:val="18"/>
              </w:rPr>
              <w:t>ou</w:t>
            </w:r>
          </w:p>
        </w:tc>
        <w:tc>
          <w:tcPr>
            <w:tcW w:type="dxa" w:w="1378"/>
            <w:shd w:val="clear" w:fill="EEF2F8"/>
          </w:tcPr>
          <w:p>
            <w:pPr>
              <w:jc w:val="center"/>
            </w:pPr>
            <w:r/>
            <w:r>
              <w:rPr>
                <w:sz w:val="18"/>
              </w:rPr>
              <w:t>f15/c1</w:t>
            </w:r>
          </w:p>
        </w:tc>
        <w:tc>
          <w:tcPr>
            <w:tcW w:type="dxa" w:w="1378"/>
            <w:shd w:val="clear" w:fill="EEF2F8"/>
          </w:tcPr>
          <w:p>
            <w:pPr>
              <w:jc w:val="center"/>
            </w:pPr>
            <w:r/>
            <w:r>
              <w:rPr>
                <w:sz w:val="18"/>
              </w:rPr>
              <w:t>1.003</w:t>
            </w:r>
          </w:p>
        </w:tc>
        <w:tc>
          <w:tcPr>
            <w:tcW w:type="dxa" w:w="1378"/>
            <w:shd w:val="clear" w:fill="EEF2F8"/>
          </w:tcPr>
          <w:p>
            <w:pPr>
              <w:jc w:val="center"/>
            </w:pPr>
            <w:r/>
            <w:r>
              <w:rPr>
                <w:sz w:val="18"/>
              </w:rPr>
              <w:t>0.063</w:t>
            </w:r>
          </w:p>
        </w:tc>
        <w:tc>
          <w:tcPr>
            <w:tcW w:type="dxa" w:w="1378"/>
            <w:shd w:val="clear" w:fill="EEF2F8"/>
          </w:tcPr>
          <w:p>
            <w:pPr>
              <w:jc w:val="center"/>
            </w:pPr>
            <w:r/>
            <w:r>
              <w:rPr>
                <w:sz w:val="18"/>
              </w:rPr>
              <w:t>0.096</w:t>
            </w:r>
          </w:p>
        </w:tc>
        <w:tc>
          <w:tcPr>
            <w:tcW w:type="dxa" w:w="1378"/>
            <w:shd w:val="clear" w:fill="EEF2F8"/>
          </w:tcPr>
          <w:p>
            <w:pPr>
              <w:jc w:val="center"/>
            </w:pPr>
            <w:r/>
            <w:r>
              <w:rPr>
                <w:sz w:val="18"/>
              </w:rPr>
              <w:t>0.234</w:t>
            </w:r>
          </w:p>
        </w:tc>
        <w:tc>
          <w:tcPr>
            <w:tcW w:type="dxa" w:w="1378"/>
            <w:shd w:val="clear" w:fill="EEF2F8"/>
          </w:tcPr>
          <w:p>
            <w:pPr>
              <w:jc w:val="center"/>
            </w:pPr>
            <w:r/>
            <w:r>
              <w:rPr>
                <w:sz w:val="18"/>
              </w:rPr>
              <w:t>0.766</w:t>
            </w:r>
          </w:p>
        </w:tc>
      </w:tr>
      <w:tr>
        <w:tc>
          <w:tcPr>
            <w:tcW w:type="dxa" w:w="1378"/>
          </w:tcPr>
          <w:p>
            <w:pPr>
              <w:jc w:val="left"/>
            </w:pPr>
            <w:r/>
            <w:r>
              <w:rPr>
                <w:sz w:val="18"/>
              </w:rPr>
              <w:t>rz</w:t>
            </w:r>
          </w:p>
        </w:tc>
        <w:tc>
          <w:tcPr>
            <w:tcW w:type="dxa" w:w="1378"/>
          </w:tcPr>
          <w:p>
            <w:pPr>
              <w:jc w:val="center"/>
            </w:pPr>
            <w:r/>
            <w:r>
              <w:rPr>
                <w:sz w:val="18"/>
              </w:rPr>
              <w:t>f5/c1</w:t>
            </w:r>
          </w:p>
        </w:tc>
        <w:tc>
          <w:tcPr>
            <w:tcW w:type="dxa" w:w="1378"/>
          </w:tcPr>
          <w:p>
            <w:pPr>
              <w:jc w:val="center"/>
            </w:pPr>
            <w:r/>
            <w:r>
              <w:rPr>
                <w:sz w:val="18"/>
              </w:rPr>
              <w:t>0.945</w:t>
            </w:r>
          </w:p>
        </w:tc>
        <w:tc>
          <w:tcPr>
            <w:tcW w:type="dxa" w:w="1378"/>
          </w:tcPr>
          <w:p>
            <w:pPr>
              <w:jc w:val="center"/>
            </w:pPr>
            <w:r/>
            <w:r>
              <w:rPr>
                <w:sz w:val="18"/>
              </w:rPr>
              <w:t>0.063</w:t>
            </w:r>
          </w:p>
        </w:tc>
        <w:tc>
          <w:tcPr>
            <w:tcW w:type="dxa" w:w="1378"/>
          </w:tcPr>
          <w:p>
            <w:pPr>
              <w:jc w:val="center"/>
            </w:pPr>
            <w:r/>
            <w:r>
              <w:rPr>
                <w:sz w:val="18"/>
              </w:rPr>
              <w:t>0.096</w:t>
            </w:r>
          </w:p>
        </w:tc>
        <w:tc>
          <w:tcPr>
            <w:tcW w:type="dxa" w:w="1378"/>
          </w:tcPr>
          <w:p>
            <w:pPr>
              <w:jc w:val="center"/>
            </w:pPr>
            <w:r/>
            <w:r>
              <w:rPr>
                <w:sz w:val="18"/>
              </w:rPr>
              <w:t>0.230</w:t>
            </w:r>
          </w:p>
        </w:tc>
        <w:tc>
          <w:tcPr>
            <w:tcW w:type="dxa" w:w="1378"/>
          </w:tcPr>
          <w:p>
            <w:pPr>
              <w:jc w:val="center"/>
            </w:pPr>
            <w:r/>
            <w:r>
              <w:rPr>
                <w:sz w:val="18"/>
              </w:rPr>
              <w:t>0.770</w:t>
            </w:r>
          </w:p>
        </w:tc>
      </w:tr>
    </w:tbl>
    <w:p>
      <w:pPr>
        <w:spacing w:after="60"/>
      </w:pPr>
      <w:r>
        <w:rPr>
          <w:b/>
          <w:color w:val="2E5A88"/>
          <w:sz w:val="18"/>
        </w:rPr>
        <w:t xml:space="preserve">Table 12. </w:t>
      </w:r>
      <w:r>
        <w:rPr>
          <w:i/>
          <w:color w:val="555555"/>
          <w:sz w:val="18"/>
        </w:rPr>
        <w:t>DSR sensitivity to the assumed trial count N (reports/phase4/dsr_pbo/2b_dsr_sensitivity_to_N.csv). Kalman DSR stays above 0.5 across N but never reaches p&lt;0.05.</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255"/>
          </w:tcPr>
          <w:p>
            <w:pPr>
              <w:jc w:val="left"/>
            </w:pPr>
            <w:r/>
            <w:r>
              <w:rPr>
                <w:b/>
                <w:color w:val="FFFFFF"/>
                <w:sz w:val="18"/>
              </w:rPr>
              <w:t>N trials</w:t>
            </w:r>
          </w:p>
        </w:tc>
        <w:tc>
          <w:tcPr>
            <w:tcW w:type="dxa" w:w="2412"/>
            <w:shd w:val="clear" w:fill="1F3255"/>
          </w:tcPr>
          <w:p>
            <w:pPr>
              <w:jc w:val="center"/>
            </w:pPr>
            <w:r/>
            <w:r>
              <w:rPr>
                <w:b/>
                <w:color w:val="FFFFFF"/>
                <w:sz w:val="18"/>
              </w:rPr>
              <w:t>SR₀ bar</w:t>
            </w:r>
          </w:p>
        </w:tc>
        <w:tc>
          <w:tcPr>
            <w:tcW w:type="dxa" w:w="2412"/>
            <w:shd w:val="clear" w:fill="1F3255"/>
          </w:tcPr>
          <w:p>
            <w:pPr>
              <w:jc w:val="center"/>
            </w:pPr>
            <w:r/>
            <w:r>
              <w:rPr>
                <w:b/>
                <w:color w:val="FFFFFF"/>
                <w:sz w:val="18"/>
              </w:rPr>
              <w:t>Kalman DSR</w:t>
            </w:r>
          </w:p>
        </w:tc>
        <w:tc>
          <w:tcPr>
            <w:tcW w:type="dxa" w:w="2412"/>
            <w:shd w:val="clear" w:fill="1F3255"/>
          </w:tcPr>
          <w:p>
            <w:pPr>
              <w:jc w:val="center"/>
            </w:pPr>
            <w:r/>
            <w:r>
              <w:rPr>
                <w:b/>
                <w:color w:val="FFFFFF"/>
                <w:sz w:val="18"/>
              </w:rPr>
              <w:t>p-value</w:t>
            </w:r>
          </w:p>
        </w:tc>
      </w:tr>
      <w:tr>
        <w:tc>
          <w:tcPr>
            <w:tcW w:type="dxa" w:w="2412"/>
          </w:tcPr>
          <w:p>
            <w:pPr>
              <w:jc w:val="left"/>
            </w:pPr>
            <w:r/>
            <w:r>
              <w:rPr>
                <w:sz w:val="18"/>
              </w:rPr>
              <w:t>1</w:t>
            </w:r>
          </w:p>
        </w:tc>
        <w:tc>
          <w:tcPr>
            <w:tcW w:type="dxa" w:w="2412"/>
          </w:tcPr>
          <w:p>
            <w:pPr>
              <w:jc w:val="center"/>
            </w:pPr>
            <w:r/>
            <w:r>
              <w:rPr>
                <w:sz w:val="18"/>
              </w:rPr>
              <w:t>0.000</w:t>
            </w:r>
          </w:p>
        </w:tc>
        <w:tc>
          <w:tcPr>
            <w:tcW w:type="dxa" w:w="2412"/>
          </w:tcPr>
          <w:p>
            <w:pPr>
              <w:jc w:val="center"/>
            </w:pPr>
            <w:r/>
            <w:r>
              <w:rPr>
                <w:sz w:val="18"/>
              </w:rPr>
              <w:t>0.999</w:t>
            </w:r>
          </w:p>
        </w:tc>
        <w:tc>
          <w:tcPr>
            <w:tcW w:type="dxa" w:w="2412"/>
          </w:tcPr>
          <w:p>
            <w:pPr>
              <w:jc w:val="center"/>
            </w:pPr>
            <w:r/>
            <w:r>
              <w:rPr>
                <w:sz w:val="18"/>
              </w:rPr>
              <w:t>0.001</w:t>
            </w:r>
          </w:p>
        </w:tc>
      </w:tr>
      <w:tr>
        <w:tc>
          <w:tcPr>
            <w:tcW w:type="dxa" w:w="2412"/>
            <w:shd w:val="clear" w:fill="EEF2F8"/>
          </w:tcPr>
          <w:p>
            <w:pPr>
              <w:jc w:val="left"/>
            </w:pPr>
            <w:r/>
            <w:r>
              <w:rPr>
                <w:sz w:val="18"/>
              </w:rPr>
              <w:t>30</w:t>
            </w:r>
          </w:p>
        </w:tc>
        <w:tc>
          <w:tcPr>
            <w:tcW w:type="dxa" w:w="2412"/>
            <w:shd w:val="clear" w:fill="EEF2F8"/>
          </w:tcPr>
          <w:p>
            <w:pPr>
              <w:jc w:val="center"/>
            </w:pPr>
            <w:r/>
            <w:r>
              <w:rPr>
                <w:sz w:val="18"/>
              </w:rPr>
              <w:t>0.089</w:t>
            </w:r>
          </w:p>
        </w:tc>
        <w:tc>
          <w:tcPr>
            <w:tcW w:type="dxa" w:w="2412"/>
            <w:shd w:val="clear" w:fill="EEF2F8"/>
          </w:tcPr>
          <w:p>
            <w:pPr>
              <w:jc w:val="center"/>
            </w:pPr>
            <w:r/>
            <w:r>
              <w:rPr>
                <w:sz w:val="18"/>
              </w:rPr>
              <w:t>0.848</w:t>
            </w:r>
          </w:p>
        </w:tc>
        <w:tc>
          <w:tcPr>
            <w:tcW w:type="dxa" w:w="2412"/>
            <w:shd w:val="clear" w:fill="EEF2F8"/>
          </w:tcPr>
          <w:p>
            <w:pPr>
              <w:jc w:val="center"/>
            </w:pPr>
            <w:r/>
            <w:r>
              <w:rPr>
                <w:sz w:val="18"/>
              </w:rPr>
              <w:t>0.152</w:t>
            </w:r>
          </w:p>
        </w:tc>
      </w:tr>
      <w:tr>
        <w:tc>
          <w:tcPr>
            <w:tcW w:type="dxa" w:w="2412"/>
          </w:tcPr>
          <w:p>
            <w:pPr>
              <w:jc w:val="left"/>
            </w:pPr>
            <w:r/>
            <w:r>
              <w:rPr>
                <w:sz w:val="18"/>
              </w:rPr>
              <w:t>46</w:t>
            </w:r>
          </w:p>
        </w:tc>
        <w:tc>
          <w:tcPr>
            <w:tcW w:type="dxa" w:w="2412"/>
          </w:tcPr>
          <w:p>
            <w:pPr>
              <w:jc w:val="center"/>
            </w:pPr>
            <w:r/>
            <w:r>
              <w:rPr>
                <w:sz w:val="18"/>
              </w:rPr>
              <w:t>0.096</w:t>
            </w:r>
          </w:p>
        </w:tc>
        <w:tc>
          <w:tcPr>
            <w:tcW w:type="dxa" w:w="2412"/>
          </w:tcPr>
          <w:p>
            <w:pPr>
              <w:jc w:val="center"/>
            </w:pPr>
            <w:r/>
            <w:r>
              <w:rPr>
                <w:sz w:val="18"/>
              </w:rPr>
              <w:t>0.808</w:t>
            </w:r>
          </w:p>
        </w:tc>
        <w:tc>
          <w:tcPr>
            <w:tcW w:type="dxa" w:w="2412"/>
          </w:tcPr>
          <w:p>
            <w:pPr>
              <w:jc w:val="center"/>
            </w:pPr>
            <w:r/>
            <w:r>
              <w:rPr>
                <w:sz w:val="18"/>
              </w:rPr>
              <w:t>0.192</w:t>
            </w:r>
          </w:p>
        </w:tc>
      </w:tr>
      <w:tr>
        <w:tc>
          <w:tcPr>
            <w:tcW w:type="dxa" w:w="2412"/>
            <w:shd w:val="clear" w:fill="EEF2F8"/>
          </w:tcPr>
          <w:p>
            <w:pPr>
              <w:jc w:val="left"/>
            </w:pPr>
            <w:r/>
            <w:r>
              <w:rPr>
                <w:sz w:val="18"/>
              </w:rPr>
              <w:t>100</w:t>
            </w:r>
          </w:p>
        </w:tc>
        <w:tc>
          <w:tcPr>
            <w:tcW w:type="dxa" w:w="2412"/>
            <w:shd w:val="clear" w:fill="EEF2F8"/>
          </w:tcPr>
          <w:p>
            <w:pPr>
              <w:jc w:val="center"/>
            </w:pPr>
            <w:r/>
            <w:r>
              <w:rPr>
                <w:sz w:val="18"/>
              </w:rPr>
              <w:t>0.108</w:t>
            </w:r>
          </w:p>
        </w:tc>
        <w:tc>
          <w:tcPr>
            <w:tcW w:type="dxa" w:w="2412"/>
            <w:shd w:val="clear" w:fill="EEF2F8"/>
          </w:tcPr>
          <w:p>
            <w:pPr>
              <w:jc w:val="center"/>
            </w:pPr>
            <w:r/>
            <w:r>
              <w:rPr>
                <w:sz w:val="18"/>
              </w:rPr>
              <w:t>0.725</w:t>
            </w:r>
          </w:p>
        </w:tc>
        <w:tc>
          <w:tcPr>
            <w:tcW w:type="dxa" w:w="2412"/>
            <w:shd w:val="clear" w:fill="EEF2F8"/>
          </w:tcPr>
          <w:p>
            <w:pPr>
              <w:jc w:val="center"/>
            </w:pPr>
            <w:r/>
            <w:r>
              <w:rPr>
                <w:sz w:val="18"/>
              </w:rPr>
              <w:t>0.275</w:t>
            </w:r>
          </w:p>
        </w:tc>
      </w:tr>
      <w:tr>
        <w:tc>
          <w:tcPr>
            <w:tcW w:type="dxa" w:w="2412"/>
          </w:tcPr>
          <w:p>
            <w:pPr>
              <w:jc w:val="left"/>
            </w:pPr>
            <w:r/>
            <w:r>
              <w:rPr>
                <w:sz w:val="18"/>
              </w:rPr>
              <w:t>200</w:t>
            </w:r>
          </w:p>
        </w:tc>
        <w:tc>
          <w:tcPr>
            <w:tcW w:type="dxa" w:w="2412"/>
          </w:tcPr>
          <w:p>
            <w:pPr>
              <w:jc w:val="center"/>
            </w:pPr>
            <w:r/>
            <w:r>
              <w:rPr>
                <w:sz w:val="18"/>
              </w:rPr>
              <w:t>0.118</w:t>
            </w:r>
          </w:p>
        </w:tc>
        <w:tc>
          <w:tcPr>
            <w:tcW w:type="dxa" w:w="2412"/>
          </w:tcPr>
          <w:p>
            <w:pPr>
              <w:jc w:val="center"/>
            </w:pPr>
            <w:r/>
            <w:r>
              <w:rPr>
                <w:sz w:val="18"/>
              </w:rPr>
              <w:t>0.647</w:t>
            </w:r>
          </w:p>
        </w:tc>
        <w:tc>
          <w:tcPr>
            <w:tcW w:type="dxa" w:w="2412"/>
          </w:tcPr>
          <w:p>
            <w:pPr>
              <w:jc w:val="center"/>
            </w:pPr>
            <w:r/>
            <w:r>
              <w:rPr>
                <w:sz w:val="18"/>
              </w:rPr>
              <w:t>0.353</w:t>
            </w:r>
          </w:p>
        </w:tc>
      </w:tr>
    </w:tbl>
    <w:p>
      <w:pPr>
        <w:spacing w:after="120"/>
      </w:pPr>
    </w:p>
    <w:p>
      <w:pPr>
        <w:spacing w:after="120"/>
      </w:pPr>
      <w:r>
        <w:rPr>
          <w:b/>
          <w:i w:val="0"/>
          <w:color w:val="9B1C1C"/>
          <w:sz w:val="21"/>
        </w:rPr>
        <w:t xml:space="preserve">Mandatory caveat: </w:t>
      </w:r>
      <w:r>
        <w:rPr>
          <w:b w:val="0"/>
          <w:i w:val="0"/>
          <w:sz w:val="21"/>
        </w:rPr>
        <w:t>with n=2 pair-folds the per-period series is the concatenation of two disjoint folds (≈2017 and ≈2019); it violates the iid assumption behind DSR and mixes two regimes inside every CSCV block. The NSE DSR/PBO numbers are INDICATIVE, not definitive. What would make them trustworthy is universe breadth — which the crypto retest supplies.</w:t>
      </w:r>
    </w:p>
    <w:p>
      <w:pPr>
        <w:pStyle w:val="Heading2"/>
      </w:pPr>
      <w:r>
        <w:rPr>
          <w:color w:val="1F3255"/>
        </w:rPr>
        <w:t>5.10  Phase 4 / A10 — crypto out-of-sample retest (the decisive experiment)</w:t>
      </w:r>
    </w:p>
    <w:p>
      <w:pPr>
        <w:spacing w:after="120"/>
      </w:pPr>
      <w:r>
        <w:rPr>
          <w:b w:val="0"/>
          <w:i w:val="0"/>
          <w:sz w:val="21"/>
        </w:rPr>
        <w:t>The same three engines were wired through the crypto intraday pipeline with EG-FDR per-fold selection, (1+β) billing, train-only H selection, and a {1,5,15}-minute × {1,3,5,8}-bps sweep over both regimes — 5 folds, 17 EG-FDR pair-folds, 14 traded pairs over 540 sessions. Two findings emerge in order of importance.</w:t>
      </w:r>
    </w:p>
    <w:p>
      <w:pPr>
        <w:pStyle w:val="ListNumber"/>
      </w:pPr>
      <w:r>
        <w:rPr>
          <w:b/>
          <w:sz w:val="21"/>
        </w:rPr>
        <w:t xml:space="preserve">The ordering replicates:  </w:t>
      </w:r>
      <w:r>
        <w:rPr>
          <w:sz w:val="21"/>
        </w:rPr>
        <w:t>on both gross and net Sharpe, Kalman &gt; frozen-OU at every frequency, and Kalman is the only engine with positive gross. The adaptive mechanism extracts more signal than the frozen mean on a completely different universe — exactly the NSE ordering.</w:t>
      </w:r>
    </w:p>
    <w:p>
      <w:pPr>
        <w:pStyle w:val="ListNumber"/>
      </w:pPr>
      <w:r>
        <w:rPr>
          <w:b/>
          <w:sz w:val="21"/>
        </w:rPr>
        <w:t xml:space="preserve">But net is negative for all engines:  </w:t>
      </w:r>
      <w:r>
        <w:rPr>
          <w:sz w:val="21"/>
        </w:rPr>
        <w:t>crypto intraday taker + spread cost (≈2,800 round-trips, (1+β)-billed) destroys the edge — Kalman is the least bad (−63%) but still deeply unprofitable; rolling-z's +37,803% gross at 1-min is a pure overtrading artefact (94,403 trades) that evaporates to −100% net. Gross &gt; 0 but net ≪ 0 means this is a cost/turnover problem, not a signal problem.</w:t>
      </w:r>
    </w:p>
    <w:p>
      <w:pPr>
        <w:spacing w:after="60"/>
      </w:pPr>
      <w:r>
        <w:rPr>
          <w:b/>
          <w:color w:val="2E5A88"/>
          <w:sz w:val="18"/>
        </w:rPr>
        <w:t xml:space="preserve">Table 13. </w:t>
      </w:r>
      <w:r>
        <w:rPr>
          <w:i/>
          <w:color w:val="555555"/>
          <w:sz w:val="18"/>
        </w:rPr>
        <w:t>Crypto A10 headline, Regime A (funding-clean), cost 3 bps (reports/phase4/crypto_adaptive/metrics.csv). Kalman is uniquely positive on gross; every engine is deeply negative on net.</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fill="1F3255"/>
          </w:tcPr>
          <w:p>
            <w:pPr>
              <w:jc w:val="left"/>
            </w:pPr>
            <w:r/>
            <w:r>
              <w:rPr>
                <w:b/>
                <w:color w:val="FFFFFF"/>
                <w:sz w:val="17"/>
              </w:rPr>
              <w:t>engine</w:t>
            </w:r>
          </w:p>
        </w:tc>
        <w:tc>
          <w:tcPr>
            <w:tcW w:type="dxa" w:w="1206"/>
            <w:shd w:val="clear" w:fill="1F3255"/>
          </w:tcPr>
          <w:p>
            <w:pPr>
              <w:jc w:val="center"/>
            </w:pPr>
            <w:r/>
            <w:r>
              <w:rPr>
                <w:b/>
                <w:color w:val="FFFFFF"/>
                <w:sz w:val="17"/>
              </w:rPr>
              <w:t>freq</w:t>
            </w:r>
          </w:p>
        </w:tc>
        <w:tc>
          <w:tcPr>
            <w:tcW w:type="dxa" w:w="1206"/>
            <w:shd w:val="clear" w:fill="1F3255"/>
          </w:tcPr>
          <w:p>
            <w:pPr>
              <w:jc w:val="center"/>
            </w:pPr>
            <w:r/>
            <w:r>
              <w:rPr>
                <w:b/>
                <w:color w:val="FFFFFF"/>
                <w:sz w:val="17"/>
              </w:rPr>
              <w:t>trades</w:t>
            </w:r>
          </w:p>
        </w:tc>
        <w:tc>
          <w:tcPr>
            <w:tcW w:type="dxa" w:w="1206"/>
            <w:shd w:val="clear" w:fill="1F3255"/>
          </w:tcPr>
          <w:p>
            <w:pPr>
              <w:jc w:val="center"/>
            </w:pPr>
            <w:r/>
            <w:r>
              <w:rPr>
                <w:b/>
                <w:color w:val="FFFFFF"/>
                <w:sz w:val="17"/>
              </w:rPr>
              <w:t>gross tot%</w:t>
            </w:r>
          </w:p>
        </w:tc>
        <w:tc>
          <w:tcPr>
            <w:tcW w:type="dxa" w:w="1206"/>
            <w:shd w:val="clear" w:fill="1F3255"/>
          </w:tcPr>
          <w:p>
            <w:pPr>
              <w:jc w:val="center"/>
            </w:pPr>
            <w:r/>
            <w:r>
              <w:rPr>
                <w:b/>
                <w:color w:val="FFFFFF"/>
                <w:sz w:val="17"/>
              </w:rPr>
              <w:t>net tot%</w:t>
            </w:r>
          </w:p>
        </w:tc>
        <w:tc>
          <w:tcPr>
            <w:tcW w:type="dxa" w:w="1206"/>
            <w:shd w:val="clear" w:fill="1F3255"/>
          </w:tcPr>
          <w:p>
            <w:pPr>
              <w:jc w:val="center"/>
            </w:pPr>
            <w:r/>
            <w:r>
              <w:rPr>
                <w:b/>
                <w:color w:val="FFFFFF"/>
                <w:sz w:val="17"/>
              </w:rPr>
              <w:t>gross Sh</w:t>
            </w:r>
          </w:p>
        </w:tc>
        <w:tc>
          <w:tcPr>
            <w:tcW w:type="dxa" w:w="1206"/>
            <w:shd w:val="clear" w:fill="1F3255"/>
          </w:tcPr>
          <w:p>
            <w:pPr>
              <w:jc w:val="center"/>
            </w:pPr>
            <w:r/>
            <w:r>
              <w:rPr>
                <w:b/>
                <w:color w:val="FFFFFF"/>
                <w:sz w:val="17"/>
              </w:rPr>
              <w:t>net Sh</w:t>
            </w:r>
          </w:p>
        </w:tc>
        <w:tc>
          <w:tcPr>
            <w:tcW w:type="dxa" w:w="1206"/>
            <w:shd w:val="clear" w:fill="1F3255"/>
          </w:tcPr>
          <w:p>
            <w:pPr>
              <w:jc w:val="center"/>
            </w:pPr>
            <w:r/>
            <w:r>
              <w:rPr>
                <w:b/>
                <w:color w:val="FFFFFF"/>
                <w:sz w:val="17"/>
              </w:rPr>
              <w:t>maxDD%</w:t>
            </w:r>
          </w:p>
        </w:tc>
      </w:tr>
      <w:tr>
        <w:tc>
          <w:tcPr>
            <w:tcW w:type="dxa" w:w="1206"/>
          </w:tcPr>
          <w:p>
            <w:pPr>
              <w:jc w:val="left"/>
            </w:pPr>
            <w:r/>
            <w:r>
              <w:rPr>
                <w:sz w:val="17"/>
              </w:rPr>
              <w:t>kalman_mu</w:t>
            </w:r>
          </w:p>
        </w:tc>
        <w:tc>
          <w:tcPr>
            <w:tcW w:type="dxa" w:w="1206"/>
          </w:tcPr>
          <w:p>
            <w:pPr>
              <w:jc w:val="center"/>
            </w:pPr>
            <w:r/>
            <w:r>
              <w:rPr>
                <w:sz w:val="17"/>
              </w:rPr>
              <w:t>1</w:t>
            </w:r>
          </w:p>
        </w:tc>
        <w:tc>
          <w:tcPr>
            <w:tcW w:type="dxa" w:w="1206"/>
          </w:tcPr>
          <w:p>
            <w:pPr>
              <w:jc w:val="center"/>
            </w:pPr>
            <w:r/>
            <w:r>
              <w:rPr>
                <w:sz w:val="17"/>
              </w:rPr>
              <w:t>2862</w:t>
            </w:r>
          </w:p>
        </w:tc>
        <w:tc>
          <w:tcPr>
            <w:tcW w:type="dxa" w:w="1206"/>
          </w:tcPr>
          <w:p>
            <w:pPr>
              <w:jc w:val="center"/>
            </w:pPr>
            <w:r/>
            <w:r>
              <w:rPr>
                <w:sz w:val="17"/>
              </w:rPr>
              <w:t>8.96</w:t>
            </w:r>
          </w:p>
        </w:tc>
        <w:tc>
          <w:tcPr>
            <w:tcW w:type="dxa" w:w="1206"/>
          </w:tcPr>
          <w:p>
            <w:pPr>
              <w:jc w:val="center"/>
            </w:pPr>
            <w:r/>
            <w:r>
              <w:rPr>
                <w:sz w:val="17"/>
              </w:rPr>
              <w:t>-63.20</w:t>
            </w:r>
          </w:p>
        </w:tc>
        <w:tc>
          <w:tcPr>
            <w:tcW w:type="dxa" w:w="1206"/>
          </w:tcPr>
          <w:p>
            <w:pPr>
              <w:jc w:val="center"/>
            </w:pPr>
            <w:r/>
            <w:r>
              <w:rPr>
                <w:sz w:val="17"/>
              </w:rPr>
              <w:t>0.112</w:t>
            </w:r>
          </w:p>
        </w:tc>
        <w:tc>
          <w:tcPr>
            <w:tcW w:type="dxa" w:w="1206"/>
          </w:tcPr>
          <w:p>
            <w:pPr>
              <w:jc w:val="center"/>
            </w:pPr>
            <w:r/>
            <w:r>
              <w:rPr>
                <w:sz w:val="17"/>
              </w:rPr>
              <w:t>-1.308</w:t>
            </w:r>
          </w:p>
        </w:tc>
        <w:tc>
          <w:tcPr>
            <w:tcW w:type="dxa" w:w="1206"/>
          </w:tcPr>
          <w:p>
            <w:pPr>
              <w:jc w:val="center"/>
            </w:pPr>
            <w:r/>
            <w:r>
              <w:rPr>
                <w:sz w:val="17"/>
              </w:rPr>
              <w:t>-67.39</w:t>
            </w:r>
          </w:p>
        </w:tc>
      </w:tr>
      <w:tr>
        <w:tc>
          <w:tcPr>
            <w:tcW w:type="dxa" w:w="1206"/>
            <w:shd w:val="clear" w:fill="EEF2F8"/>
          </w:tcPr>
          <w:p>
            <w:pPr>
              <w:jc w:val="left"/>
            </w:pPr>
            <w:r/>
            <w:r>
              <w:rPr>
                <w:sz w:val="17"/>
              </w:rPr>
              <w:t>kalman_mu</w:t>
            </w:r>
          </w:p>
        </w:tc>
        <w:tc>
          <w:tcPr>
            <w:tcW w:type="dxa" w:w="1206"/>
            <w:shd w:val="clear" w:fill="EEF2F8"/>
          </w:tcPr>
          <w:p>
            <w:pPr>
              <w:jc w:val="center"/>
            </w:pPr>
            <w:r/>
            <w:r>
              <w:rPr>
                <w:sz w:val="17"/>
              </w:rPr>
              <w:t>5</w:t>
            </w:r>
          </w:p>
        </w:tc>
        <w:tc>
          <w:tcPr>
            <w:tcW w:type="dxa" w:w="1206"/>
            <w:shd w:val="clear" w:fill="EEF2F8"/>
          </w:tcPr>
          <w:p>
            <w:pPr>
              <w:jc w:val="center"/>
            </w:pPr>
            <w:r/>
            <w:r>
              <w:rPr>
                <w:sz w:val="17"/>
              </w:rPr>
              <w:t>2820</w:t>
            </w:r>
          </w:p>
        </w:tc>
        <w:tc>
          <w:tcPr>
            <w:tcW w:type="dxa" w:w="1206"/>
            <w:shd w:val="clear" w:fill="EEF2F8"/>
          </w:tcPr>
          <w:p>
            <w:pPr>
              <w:jc w:val="center"/>
            </w:pPr>
            <w:r/>
            <w:r>
              <w:rPr>
                <w:sz w:val="17"/>
              </w:rPr>
              <w:t>4.92</w:t>
            </w:r>
          </w:p>
        </w:tc>
        <w:tc>
          <w:tcPr>
            <w:tcW w:type="dxa" w:w="1206"/>
            <w:shd w:val="clear" w:fill="EEF2F8"/>
          </w:tcPr>
          <w:p>
            <w:pPr>
              <w:jc w:val="center"/>
            </w:pPr>
            <w:r/>
            <w:r>
              <w:rPr>
                <w:sz w:val="17"/>
              </w:rPr>
              <w:t>-64.13</w:t>
            </w:r>
          </w:p>
        </w:tc>
        <w:tc>
          <w:tcPr>
            <w:tcW w:type="dxa" w:w="1206"/>
            <w:shd w:val="clear" w:fill="EEF2F8"/>
          </w:tcPr>
          <w:p>
            <w:pPr>
              <w:jc w:val="center"/>
            </w:pPr>
            <w:r/>
            <w:r>
              <w:rPr>
                <w:sz w:val="17"/>
              </w:rPr>
              <w:t>0.062</w:t>
            </w:r>
          </w:p>
        </w:tc>
        <w:tc>
          <w:tcPr>
            <w:tcW w:type="dxa" w:w="1206"/>
            <w:shd w:val="clear" w:fill="EEF2F8"/>
          </w:tcPr>
          <w:p>
            <w:pPr>
              <w:jc w:val="center"/>
            </w:pPr>
            <w:r/>
            <w:r>
              <w:rPr>
                <w:sz w:val="17"/>
              </w:rPr>
              <w:t>-1.334</w:t>
            </w:r>
          </w:p>
        </w:tc>
        <w:tc>
          <w:tcPr>
            <w:tcW w:type="dxa" w:w="1206"/>
            <w:shd w:val="clear" w:fill="EEF2F8"/>
          </w:tcPr>
          <w:p>
            <w:pPr>
              <w:jc w:val="center"/>
            </w:pPr>
            <w:r/>
            <w:r>
              <w:rPr>
                <w:sz w:val="17"/>
              </w:rPr>
              <w:t>-67.25</w:t>
            </w:r>
          </w:p>
        </w:tc>
      </w:tr>
      <w:tr>
        <w:tc>
          <w:tcPr>
            <w:tcW w:type="dxa" w:w="1206"/>
          </w:tcPr>
          <w:p>
            <w:pPr>
              <w:jc w:val="left"/>
            </w:pPr>
            <w:r/>
            <w:r>
              <w:rPr>
                <w:sz w:val="17"/>
              </w:rPr>
              <w:t>kalman_mu</w:t>
            </w:r>
          </w:p>
        </w:tc>
        <w:tc>
          <w:tcPr>
            <w:tcW w:type="dxa" w:w="1206"/>
          </w:tcPr>
          <w:p>
            <w:pPr>
              <w:jc w:val="center"/>
            </w:pPr>
            <w:r/>
            <w:r>
              <w:rPr>
                <w:sz w:val="17"/>
              </w:rPr>
              <w:t>15</w:t>
            </w:r>
          </w:p>
        </w:tc>
        <w:tc>
          <w:tcPr>
            <w:tcW w:type="dxa" w:w="1206"/>
          </w:tcPr>
          <w:p>
            <w:pPr>
              <w:jc w:val="center"/>
            </w:pPr>
            <w:r/>
            <w:r>
              <w:rPr>
                <w:sz w:val="17"/>
              </w:rPr>
              <w:t>2778</w:t>
            </w:r>
          </w:p>
        </w:tc>
        <w:tc>
          <w:tcPr>
            <w:tcW w:type="dxa" w:w="1206"/>
          </w:tcPr>
          <w:p>
            <w:pPr>
              <w:jc w:val="center"/>
            </w:pPr>
            <w:r/>
            <w:r>
              <w:rPr>
                <w:sz w:val="17"/>
              </w:rPr>
              <w:t>6.62</w:t>
            </w:r>
          </w:p>
        </w:tc>
        <w:tc>
          <w:tcPr>
            <w:tcW w:type="dxa" w:w="1206"/>
          </w:tcPr>
          <w:p>
            <w:pPr>
              <w:jc w:val="center"/>
            </w:pPr>
            <w:r/>
            <w:r>
              <w:rPr>
                <w:sz w:val="17"/>
              </w:rPr>
              <w:t>-63.03</w:t>
            </w:r>
          </w:p>
        </w:tc>
        <w:tc>
          <w:tcPr>
            <w:tcW w:type="dxa" w:w="1206"/>
          </w:tcPr>
          <w:p>
            <w:pPr>
              <w:jc w:val="center"/>
            </w:pPr>
            <w:r/>
            <w:r>
              <w:rPr>
                <w:sz w:val="17"/>
              </w:rPr>
              <w:t>0.085</w:t>
            </w:r>
          </w:p>
        </w:tc>
        <w:tc>
          <w:tcPr>
            <w:tcW w:type="dxa" w:w="1206"/>
          </w:tcPr>
          <w:p>
            <w:pPr>
              <w:jc w:val="center"/>
            </w:pPr>
            <w:r/>
            <w:r>
              <w:rPr>
                <w:sz w:val="17"/>
              </w:rPr>
              <w:t>-1.320</w:t>
            </w:r>
          </w:p>
        </w:tc>
        <w:tc>
          <w:tcPr>
            <w:tcW w:type="dxa" w:w="1206"/>
          </w:tcPr>
          <w:p>
            <w:pPr>
              <w:jc w:val="center"/>
            </w:pPr>
            <w:r/>
            <w:r>
              <w:rPr>
                <w:sz w:val="17"/>
              </w:rPr>
              <w:t>-66.28</w:t>
            </w:r>
          </w:p>
        </w:tc>
      </w:tr>
      <w:tr>
        <w:tc>
          <w:tcPr>
            <w:tcW w:type="dxa" w:w="1206"/>
            <w:shd w:val="clear" w:fill="EEF2F8"/>
          </w:tcPr>
          <w:p>
            <w:pPr>
              <w:jc w:val="left"/>
            </w:pPr>
            <w:r/>
            <w:r>
              <w:rPr>
                <w:sz w:val="17"/>
              </w:rPr>
              <w:t>frozen_ou</w:t>
            </w:r>
          </w:p>
        </w:tc>
        <w:tc>
          <w:tcPr>
            <w:tcW w:type="dxa" w:w="1206"/>
            <w:shd w:val="clear" w:fill="EEF2F8"/>
          </w:tcPr>
          <w:p>
            <w:pPr>
              <w:jc w:val="center"/>
            </w:pPr>
            <w:r/>
            <w:r>
              <w:rPr>
                <w:sz w:val="17"/>
              </w:rPr>
              <w:t>1</w:t>
            </w:r>
          </w:p>
        </w:tc>
        <w:tc>
          <w:tcPr>
            <w:tcW w:type="dxa" w:w="1206"/>
            <w:shd w:val="clear" w:fill="EEF2F8"/>
          </w:tcPr>
          <w:p>
            <w:pPr>
              <w:jc w:val="center"/>
            </w:pPr>
            <w:r/>
            <w:r>
              <w:rPr>
                <w:sz w:val="17"/>
              </w:rPr>
              <w:t>2982</w:t>
            </w:r>
          </w:p>
        </w:tc>
        <w:tc>
          <w:tcPr>
            <w:tcW w:type="dxa" w:w="1206"/>
            <w:shd w:val="clear" w:fill="EEF2F8"/>
          </w:tcPr>
          <w:p>
            <w:pPr>
              <w:jc w:val="center"/>
            </w:pPr>
            <w:r/>
            <w:r>
              <w:rPr>
                <w:sz w:val="17"/>
              </w:rPr>
              <w:t>-9.35</w:t>
            </w:r>
          </w:p>
        </w:tc>
        <w:tc>
          <w:tcPr>
            <w:tcW w:type="dxa" w:w="1206"/>
            <w:shd w:val="clear" w:fill="EEF2F8"/>
          </w:tcPr>
          <w:p>
            <w:pPr>
              <w:jc w:val="center"/>
            </w:pPr>
            <w:r/>
            <w:r>
              <w:rPr>
                <w:sz w:val="17"/>
              </w:rPr>
              <w:t>-71.16</w:t>
            </w:r>
          </w:p>
        </w:tc>
        <w:tc>
          <w:tcPr>
            <w:tcW w:type="dxa" w:w="1206"/>
            <w:shd w:val="clear" w:fill="EEF2F8"/>
          </w:tcPr>
          <w:p>
            <w:pPr>
              <w:jc w:val="center"/>
            </w:pPr>
            <w:r/>
            <w:r>
              <w:rPr>
                <w:sz w:val="17"/>
              </w:rPr>
              <w:t>-0.133</w:t>
            </w:r>
          </w:p>
        </w:tc>
        <w:tc>
          <w:tcPr>
            <w:tcW w:type="dxa" w:w="1206"/>
            <w:shd w:val="clear" w:fill="EEF2F8"/>
          </w:tcPr>
          <w:p>
            <w:pPr>
              <w:jc w:val="center"/>
            </w:pPr>
            <w:r/>
            <w:r>
              <w:rPr>
                <w:sz w:val="17"/>
              </w:rPr>
              <w:t>-1.680</w:t>
            </w:r>
          </w:p>
        </w:tc>
        <w:tc>
          <w:tcPr>
            <w:tcW w:type="dxa" w:w="1206"/>
            <w:shd w:val="clear" w:fill="EEF2F8"/>
          </w:tcPr>
          <w:p>
            <w:pPr>
              <w:jc w:val="center"/>
            </w:pPr>
            <w:r/>
            <w:r>
              <w:rPr>
                <w:sz w:val="17"/>
              </w:rPr>
              <w:t>-71.37</w:t>
            </w:r>
          </w:p>
        </w:tc>
      </w:tr>
      <w:tr>
        <w:tc>
          <w:tcPr>
            <w:tcW w:type="dxa" w:w="1206"/>
          </w:tcPr>
          <w:p>
            <w:pPr>
              <w:jc w:val="left"/>
            </w:pPr>
            <w:r/>
            <w:r>
              <w:rPr>
                <w:sz w:val="17"/>
              </w:rPr>
              <w:t>frozen_ou</w:t>
            </w:r>
          </w:p>
        </w:tc>
        <w:tc>
          <w:tcPr>
            <w:tcW w:type="dxa" w:w="1206"/>
          </w:tcPr>
          <w:p>
            <w:pPr>
              <w:jc w:val="center"/>
            </w:pPr>
            <w:r/>
            <w:r>
              <w:rPr>
                <w:sz w:val="17"/>
              </w:rPr>
              <w:t>5</w:t>
            </w:r>
          </w:p>
        </w:tc>
        <w:tc>
          <w:tcPr>
            <w:tcW w:type="dxa" w:w="1206"/>
          </w:tcPr>
          <w:p>
            <w:pPr>
              <w:jc w:val="center"/>
            </w:pPr>
            <w:r/>
            <w:r>
              <w:rPr>
                <w:sz w:val="17"/>
              </w:rPr>
              <w:t>2969</w:t>
            </w:r>
          </w:p>
        </w:tc>
        <w:tc>
          <w:tcPr>
            <w:tcW w:type="dxa" w:w="1206"/>
          </w:tcPr>
          <w:p>
            <w:pPr>
              <w:jc w:val="center"/>
            </w:pPr>
            <w:r/>
            <w:r>
              <w:rPr>
                <w:sz w:val="17"/>
              </w:rPr>
              <w:t>-15.80</w:t>
            </w:r>
          </w:p>
        </w:tc>
        <w:tc>
          <w:tcPr>
            <w:tcW w:type="dxa" w:w="1206"/>
          </w:tcPr>
          <w:p>
            <w:pPr>
              <w:jc w:val="center"/>
            </w:pPr>
            <w:r/>
            <w:r>
              <w:rPr>
                <w:sz w:val="17"/>
              </w:rPr>
              <w:t>-73.01</w:t>
            </w:r>
          </w:p>
        </w:tc>
        <w:tc>
          <w:tcPr>
            <w:tcW w:type="dxa" w:w="1206"/>
          </w:tcPr>
          <w:p>
            <w:pPr>
              <w:jc w:val="center"/>
            </w:pPr>
            <w:r/>
            <w:r>
              <w:rPr>
                <w:sz w:val="17"/>
              </w:rPr>
              <w:t>-0.234</w:t>
            </w:r>
          </w:p>
        </w:tc>
        <w:tc>
          <w:tcPr>
            <w:tcW w:type="dxa" w:w="1206"/>
          </w:tcPr>
          <w:p>
            <w:pPr>
              <w:jc w:val="center"/>
            </w:pPr>
            <w:r/>
            <w:r>
              <w:rPr>
                <w:sz w:val="17"/>
              </w:rPr>
              <w:t>-1.786</w:t>
            </w:r>
          </w:p>
        </w:tc>
        <w:tc>
          <w:tcPr>
            <w:tcW w:type="dxa" w:w="1206"/>
          </w:tcPr>
          <w:p>
            <w:pPr>
              <w:jc w:val="center"/>
            </w:pPr>
            <w:r/>
            <w:r>
              <w:rPr>
                <w:sz w:val="17"/>
              </w:rPr>
              <w:t>-73.28</w:t>
            </w:r>
          </w:p>
        </w:tc>
      </w:tr>
      <w:tr>
        <w:tc>
          <w:tcPr>
            <w:tcW w:type="dxa" w:w="1206"/>
            <w:shd w:val="clear" w:fill="EEF2F8"/>
          </w:tcPr>
          <w:p>
            <w:pPr>
              <w:jc w:val="left"/>
            </w:pPr>
            <w:r/>
            <w:r>
              <w:rPr>
                <w:sz w:val="17"/>
              </w:rPr>
              <w:t>frozen_ou</w:t>
            </w:r>
          </w:p>
        </w:tc>
        <w:tc>
          <w:tcPr>
            <w:tcW w:type="dxa" w:w="1206"/>
            <w:shd w:val="clear" w:fill="EEF2F8"/>
          </w:tcPr>
          <w:p>
            <w:pPr>
              <w:jc w:val="center"/>
            </w:pPr>
            <w:r/>
            <w:r>
              <w:rPr>
                <w:sz w:val="17"/>
              </w:rPr>
              <w:t>15</w:t>
            </w:r>
          </w:p>
        </w:tc>
        <w:tc>
          <w:tcPr>
            <w:tcW w:type="dxa" w:w="1206"/>
            <w:shd w:val="clear" w:fill="EEF2F8"/>
          </w:tcPr>
          <w:p>
            <w:pPr>
              <w:jc w:val="center"/>
            </w:pPr>
            <w:r/>
            <w:r>
              <w:rPr>
                <w:sz w:val="17"/>
              </w:rPr>
              <w:t>2953</w:t>
            </w:r>
          </w:p>
        </w:tc>
        <w:tc>
          <w:tcPr>
            <w:tcW w:type="dxa" w:w="1206"/>
            <w:shd w:val="clear" w:fill="EEF2F8"/>
          </w:tcPr>
          <w:p>
            <w:pPr>
              <w:jc w:val="center"/>
            </w:pPr>
            <w:r/>
            <w:r>
              <w:rPr>
                <w:sz w:val="17"/>
              </w:rPr>
              <w:t>-15.81</w:t>
            </w:r>
          </w:p>
        </w:tc>
        <w:tc>
          <w:tcPr>
            <w:tcW w:type="dxa" w:w="1206"/>
            <w:shd w:val="clear" w:fill="EEF2F8"/>
          </w:tcPr>
          <w:p>
            <w:pPr>
              <w:jc w:val="center"/>
            </w:pPr>
            <w:r/>
            <w:r>
              <w:rPr>
                <w:sz w:val="17"/>
              </w:rPr>
              <w:t>-72.90</w:t>
            </w:r>
          </w:p>
        </w:tc>
        <w:tc>
          <w:tcPr>
            <w:tcW w:type="dxa" w:w="1206"/>
            <w:shd w:val="clear" w:fill="EEF2F8"/>
          </w:tcPr>
          <w:p>
            <w:pPr>
              <w:jc w:val="center"/>
            </w:pPr>
            <w:r/>
            <w:r>
              <w:rPr>
                <w:sz w:val="17"/>
              </w:rPr>
              <w:t>-0.235</w:t>
            </w:r>
          </w:p>
        </w:tc>
        <w:tc>
          <w:tcPr>
            <w:tcW w:type="dxa" w:w="1206"/>
            <w:shd w:val="clear" w:fill="EEF2F8"/>
          </w:tcPr>
          <w:p>
            <w:pPr>
              <w:jc w:val="center"/>
            </w:pPr>
            <w:r/>
            <w:r>
              <w:rPr>
                <w:sz w:val="17"/>
              </w:rPr>
              <w:t>-1.788</w:t>
            </w:r>
          </w:p>
        </w:tc>
        <w:tc>
          <w:tcPr>
            <w:tcW w:type="dxa" w:w="1206"/>
            <w:shd w:val="clear" w:fill="EEF2F8"/>
          </w:tcPr>
          <w:p>
            <w:pPr>
              <w:jc w:val="center"/>
            </w:pPr>
            <w:r/>
            <w:r>
              <w:rPr>
                <w:sz w:val="17"/>
              </w:rPr>
              <w:t>-73.02</w:t>
            </w:r>
          </w:p>
        </w:tc>
      </w:tr>
      <w:tr>
        <w:tc>
          <w:tcPr>
            <w:tcW w:type="dxa" w:w="1206"/>
          </w:tcPr>
          <w:p>
            <w:pPr>
              <w:jc w:val="left"/>
            </w:pPr>
            <w:r/>
            <w:r>
              <w:rPr>
                <w:sz w:val="17"/>
              </w:rPr>
              <w:t>rolling_z</w:t>
            </w:r>
          </w:p>
        </w:tc>
        <w:tc>
          <w:tcPr>
            <w:tcW w:type="dxa" w:w="1206"/>
          </w:tcPr>
          <w:p>
            <w:pPr>
              <w:jc w:val="center"/>
            </w:pPr>
            <w:r/>
            <w:r>
              <w:rPr>
                <w:sz w:val="17"/>
              </w:rPr>
              <w:t>1</w:t>
            </w:r>
          </w:p>
        </w:tc>
        <w:tc>
          <w:tcPr>
            <w:tcW w:type="dxa" w:w="1206"/>
          </w:tcPr>
          <w:p>
            <w:pPr>
              <w:jc w:val="center"/>
            </w:pPr>
            <w:r/>
            <w:r>
              <w:rPr>
                <w:sz w:val="17"/>
              </w:rPr>
              <w:t>94403</w:t>
            </w:r>
          </w:p>
        </w:tc>
        <w:tc>
          <w:tcPr>
            <w:tcW w:type="dxa" w:w="1206"/>
          </w:tcPr>
          <w:p>
            <w:pPr>
              <w:jc w:val="center"/>
            </w:pPr>
            <w:r/>
            <w:r>
              <w:rPr>
                <w:sz w:val="17"/>
              </w:rPr>
              <w:t>37,802.90</w:t>
            </w:r>
          </w:p>
        </w:tc>
        <w:tc>
          <w:tcPr>
            <w:tcW w:type="dxa" w:w="1206"/>
          </w:tcPr>
          <w:p>
            <w:pPr>
              <w:jc w:val="center"/>
            </w:pPr>
            <w:r/>
            <w:r>
              <w:rPr>
                <w:sz w:val="17"/>
              </w:rPr>
              <w:t>-100.00</w:t>
            </w:r>
          </w:p>
        </w:tc>
        <w:tc>
          <w:tcPr>
            <w:tcW w:type="dxa" w:w="1206"/>
          </w:tcPr>
          <w:p>
            <w:pPr>
              <w:jc w:val="center"/>
            </w:pPr>
            <w:r/>
            <w:r>
              <w:rPr>
                <w:sz w:val="17"/>
              </w:rPr>
              <w:t>9.426</w:t>
            </w:r>
          </w:p>
        </w:tc>
        <w:tc>
          <w:tcPr>
            <w:tcW w:type="dxa" w:w="1206"/>
          </w:tcPr>
          <w:p>
            <w:pPr>
              <w:jc w:val="center"/>
            </w:pPr>
            <w:r/>
            <w:r>
              <w:rPr>
                <w:sz w:val="17"/>
              </w:rPr>
              <w:t>-51.406</w:t>
            </w:r>
          </w:p>
        </w:tc>
        <w:tc>
          <w:tcPr>
            <w:tcW w:type="dxa" w:w="1206"/>
          </w:tcPr>
          <w:p>
            <w:pPr>
              <w:jc w:val="center"/>
            </w:pPr>
            <w:r/>
            <w:r>
              <w:rPr>
                <w:sz w:val="17"/>
              </w:rPr>
              <w:t>-100.00</w:t>
            </w:r>
          </w:p>
        </w:tc>
      </w:tr>
      <w:tr>
        <w:tc>
          <w:tcPr>
            <w:tcW w:type="dxa" w:w="1206"/>
            <w:shd w:val="clear" w:fill="EEF2F8"/>
          </w:tcPr>
          <w:p>
            <w:pPr>
              <w:jc w:val="left"/>
            </w:pPr>
            <w:r/>
            <w:r>
              <w:rPr>
                <w:sz w:val="17"/>
              </w:rPr>
              <w:t>rolling_z</w:t>
            </w:r>
          </w:p>
        </w:tc>
        <w:tc>
          <w:tcPr>
            <w:tcW w:type="dxa" w:w="1206"/>
            <w:shd w:val="clear" w:fill="EEF2F8"/>
          </w:tcPr>
          <w:p>
            <w:pPr>
              <w:jc w:val="center"/>
            </w:pPr>
            <w:r/>
            <w:r>
              <w:rPr>
                <w:sz w:val="17"/>
              </w:rPr>
              <w:t>5</w:t>
            </w:r>
          </w:p>
        </w:tc>
        <w:tc>
          <w:tcPr>
            <w:tcW w:type="dxa" w:w="1206"/>
            <w:shd w:val="clear" w:fill="EEF2F8"/>
          </w:tcPr>
          <w:p>
            <w:pPr>
              <w:jc w:val="center"/>
            </w:pPr>
            <w:r/>
            <w:r>
              <w:rPr>
                <w:sz w:val="17"/>
              </w:rPr>
              <w:t>20256</w:t>
            </w:r>
          </w:p>
        </w:tc>
        <w:tc>
          <w:tcPr>
            <w:tcW w:type="dxa" w:w="1206"/>
            <w:shd w:val="clear" w:fill="EEF2F8"/>
          </w:tcPr>
          <w:p>
            <w:pPr>
              <w:jc w:val="center"/>
            </w:pPr>
            <w:r/>
            <w:r>
              <w:rPr>
                <w:sz w:val="17"/>
              </w:rPr>
              <w:t>98.63</w:t>
            </w:r>
          </w:p>
        </w:tc>
        <w:tc>
          <w:tcPr>
            <w:tcW w:type="dxa" w:w="1206"/>
            <w:shd w:val="clear" w:fill="EEF2F8"/>
          </w:tcPr>
          <w:p>
            <w:pPr>
              <w:jc w:val="center"/>
            </w:pPr>
            <w:r/>
            <w:r>
              <w:rPr>
                <w:sz w:val="17"/>
              </w:rPr>
              <w:t>-99.92</w:t>
            </w:r>
          </w:p>
        </w:tc>
        <w:tc>
          <w:tcPr>
            <w:tcW w:type="dxa" w:w="1206"/>
            <w:shd w:val="clear" w:fill="EEF2F8"/>
          </w:tcPr>
          <w:p>
            <w:pPr>
              <w:jc w:val="center"/>
            </w:pPr>
            <w:r/>
            <w:r>
              <w:rPr>
                <w:sz w:val="17"/>
              </w:rPr>
              <w:t>1.096</w:t>
            </w:r>
          </w:p>
        </w:tc>
        <w:tc>
          <w:tcPr>
            <w:tcW w:type="dxa" w:w="1206"/>
            <w:shd w:val="clear" w:fill="EEF2F8"/>
          </w:tcPr>
          <w:p>
            <w:pPr>
              <w:jc w:val="center"/>
            </w:pPr>
            <w:r/>
            <w:r>
              <w:rPr>
                <w:sz w:val="17"/>
              </w:rPr>
              <w:t>-11.512</w:t>
            </w:r>
          </w:p>
        </w:tc>
        <w:tc>
          <w:tcPr>
            <w:tcW w:type="dxa" w:w="1206"/>
            <w:shd w:val="clear" w:fill="EEF2F8"/>
          </w:tcPr>
          <w:p>
            <w:pPr>
              <w:jc w:val="center"/>
            </w:pPr>
            <w:r/>
            <w:r>
              <w:rPr>
                <w:sz w:val="17"/>
              </w:rPr>
              <w:t>-99.92</w:t>
            </w:r>
          </w:p>
        </w:tc>
      </w:tr>
      <w:tr>
        <w:tc>
          <w:tcPr>
            <w:tcW w:type="dxa" w:w="1206"/>
          </w:tcPr>
          <w:p>
            <w:pPr>
              <w:jc w:val="left"/>
            </w:pPr>
            <w:r/>
            <w:r>
              <w:rPr>
                <w:sz w:val="17"/>
              </w:rPr>
              <w:t>rolling_z</w:t>
            </w:r>
          </w:p>
        </w:tc>
        <w:tc>
          <w:tcPr>
            <w:tcW w:type="dxa" w:w="1206"/>
          </w:tcPr>
          <w:p>
            <w:pPr>
              <w:jc w:val="center"/>
            </w:pPr>
            <w:r/>
            <w:r>
              <w:rPr>
                <w:sz w:val="17"/>
              </w:rPr>
              <w:t>15</w:t>
            </w:r>
          </w:p>
        </w:tc>
        <w:tc>
          <w:tcPr>
            <w:tcW w:type="dxa" w:w="1206"/>
          </w:tcPr>
          <w:p>
            <w:pPr>
              <w:jc w:val="center"/>
            </w:pPr>
            <w:r/>
            <w:r>
              <w:rPr>
                <w:sz w:val="17"/>
              </w:rPr>
              <w:t>7237</w:t>
            </w:r>
          </w:p>
        </w:tc>
        <w:tc>
          <w:tcPr>
            <w:tcW w:type="dxa" w:w="1206"/>
          </w:tcPr>
          <w:p>
            <w:pPr>
              <w:jc w:val="center"/>
            </w:pPr>
            <w:r/>
            <w:r>
              <w:rPr>
                <w:sz w:val="17"/>
              </w:rPr>
              <w:t>78.66</w:t>
            </w:r>
          </w:p>
        </w:tc>
        <w:tc>
          <w:tcPr>
            <w:tcW w:type="dxa" w:w="1206"/>
          </w:tcPr>
          <w:p>
            <w:pPr>
              <w:jc w:val="center"/>
            </w:pPr>
            <w:r/>
            <w:r>
              <w:rPr>
                <w:sz w:val="17"/>
              </w:rPr>
              <w:t>-88.67</w:t>
            </w:r>
          </w:p>
        </w:tc>
        <w:tc>
          <w:tcPr>
            <w:tcW w:type="dxa" w:w="1206"/>
          </w:tcPr>
          <w:p>
            <w:pPr>
              <w:jc w:val="center"/>
            </w:pPr>
            <w:r/>
            <w:r>
              <w:rPr>
                <w:sz w:val="17"/>
              </w:rPr>
              <w:t>1.064</w:t>
            </w:r>
          </w:p>
        </w:tc>
        <w:tc>
          <w:tcPr>
            <w:tcW w:type="dxa" w:w="1206"/>
          </w:tcPr>
          <w:p>
            <w:pPr>
              <w:jc w:val="center"/>
            </w:pPr>
            <w:r/>
            <w:r>
              <w:rPr>
                <w:sz w:val="17"/>
              </w:rPr>
              <w:t>-3.988</w:t>
            </w:r>
          </w:p>
        </w:tc>
        <w:tc>
          <w:tcPr>
            <w:tcW w:type="dxa" w:w="1206"/>
          </w:tcPr>
          <w:p>
            <w:pPr>
              <w:jc w:val="center"/>
            </w:pPr>
            <w:r/>
            <w:r>
              <w:rPr>
                <w:sz w:val="17"/>
              </w:rPr>
              <w:t>-88.61</w:t>
            </w:r>
          </w:p>
        </w:tc>
      </w:tr>
    </w:tbl>
    <w:p>
      <w:pPr>
        <w:spacing w:after="120"/>
      </w:pPr>
    </w:p>
    <w:p>
      <w:pPr>
        <w:spacing w:after="60"/>
      </w:pPr>
      <w:r>
        <w:rPr>
          <w:b/>
          <w:color w:val="2E5A88"/>
          <w:sz w:val="18"/>
        </w:rPr>
        <w:t xml:space="preserve">Table 14. </w:t>
      </w:r>
      <w:r>
        <w:rPr>
          <w:i/>
          <w:color w:val="555555"/>
          <w:sz w:val="18"/>
        </w:rPr>
        <w:t>Crypto Kalman DSR/PBO, N=28 honest trials (reports/phase4/crypto_adaptive/dsr_pbo_kalman.csv). Net DSR = 0.002 — the edge does not survive. (Gross Kalman DSR = 0.546, p 0.454 — marginal, not significant.) Breadth (14 pairs × 540 d) makes these trustworthy.</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1F3255"/>
          </w:tcPr>
          <w:p>
            <w:pPr>
              <w:jc w:val="left"/>
            </w:pPr>
            <w:r/>
            <w:r>
              <w:rPr>
                <w:b/>
                <w:color w:val="FFFFFF"/>
                <w:sz w:val="17"/>
              </w:rPr>
              <w:t>regime</w:t>
            </w:r>
          </w:p>
        </w:tc>
        <w:tc>
          <w:tcPr>
            <w:tcW w:type="dxa" w:w="1072"/>
            <w:shd w:val="clear" w:fill="1F3255"/>
          </w:tcPr>
          <w:p>
            <w:pPr>
              <w:jc w:val="center"/>
            </w:pPr>
            <w:r/>
            <w:r>
              <w:rPr>
                <w:b/>
                <w:color w:val="FFFFFF"/>
                <w:sz w:val="17"/>
              </w:rPr>
              <w:t>funding</w:t>
            </w:r>
          </w:p>
        </w:tc>
        <w:tc>
          <w:tcPr>
            <w:tcW w:type="dxa" w:w="1072"/>
            <w:shd w:val="clear" w:fill="1F3255"/>
          </w:tcPr>
          <w:p>
            <w:pPr>
              <w:jc w:val="center"/>
            </w:pPr>
            <w:r/>
            <w:r>
              <w:rPr>
                <w:b/>
                <w:color w:val="FFFFFF"/>
                <w:sz w:val="17"/>
              </w:rPr>
              <w:t>cell</w:t>
            </w:r>
          </w:p>
        </w:tc>
        <w:tc>
          <w:tcPr>
            <w:tcW w:type="dxa" w:w="1072"/>
            <w:shd w:val="clear" w:fill="1F3255"/>
          </w:tcPr>
          <w:p>
            <w:pPr>
              <w:jc w:val="center"/>
            </w:pPr>
            <w:r/>
            <w:r>
              <w:rPr>
                <w:b/>
                <w:color w:val="FFFFFF"/>
                <w:sz w:val="17"/>
              </w:rPr>
              <w:t>ann net Sh</w:t>
            </w:r>
          </w:p>
        </w:tc>
        <w:tc>
          <w:tcPr>
            <w:tcW w:type="dxa" w:w="1072"/>
            <w:shd w:val="clear" w:fill="1F3255"/>
          </w:tcPr>
          <w:p>
            <w:pPr>
              <w:jc w:val="center"/>
            </w:pPr>
            <w:r/>
            <w:r>
              <w:rPr>
                <w:b/>
                <w:color w:val="FFFFFF"/>
                <w:sz w:val="17"/>
              </w:rPr>
              <w:t>per-period SR</w:t>
            </w:r>
          </w:p>
        </w:tc>
        <w:tc>
          <w:tcPr>
            <w:tcW w:type="dxa" w:w="1072"/>
            <w:shd w:val="clear" w:fill="1F3255"/>
          </w:tcPr>
          <w:p>
            <w:pPr>
              <w:jc w:val="center"/>
            </w:pPr>
            <w:r/>
            <w:r>
              <w:rPr>
                <w:b/>
                <w:color w:val="FFFFFF"/>
                <w:sz w:val="17"/>
              </w:rPr>
              <w:t>SR₀ bar</w:t>
            </w:r>
          </w:p>
        </w:tc>
        <w:tc>
          <w:tcPr>
            <w:tcW w:type="dxa" w:w="1072"/>
            <w:shd w:val="clear" w:fill="1F3255"/>
          </w:tcPr>
          <w:p>
            <w:pPr>
              <w:jc w:val="center"/>
            </w:pPr>
            <w:r/>
            <w:r>
              <w:rPr>
                <w:b/>
                <w:color w:val="FFFFFF"/>
                <w:sz w:val="17"/>
              </w:rPr>
              <w:t>net DSR</w:t>
            </w:r>
          </w:p>
        </w:tc>
        <w:tc>
          <w:tcPr>
            <w:tcW w:type="dxa" w:w="1072"/>
            <w:shd w:val="clear" w:fill="1F3255"/>
          </w:tcPr>
          <w:p>
            <w:pPr>
              <w:jc w:val="center"/>
            </w:pPr>
            <w:r/>
            <w:r>
              <w:rPr>
                <w:b/>
                <w:color w:val="FFFFFF"/>
                <w:sz w:val="17"/>
              </w:rPr>
              <w:t>p-value</w:t>
            </w:r>
          </w:p>
        </w:tc>
        <w:tc>
          <w:tcPr>
            <w:tcW w:type="dxa" w:w="1072"/>
            <w:shd w:val="clear" w:fill="1F3255"/>
          </w:tcPr>
          <w:p>
            <w:pPr>
              <w:jc w:val="center"/>
            </w:pPr>
            <w:r/>
            <w:r>
              <w:rPr>
                <w:b/>
                <w:color w:val="FFFFFF"/>
                <w:sz w:val="17"/>
              </w:rPr>
              <w:t>PBO</w:t>
            </w:r>
          </w:p>
        </w:tc>
      </w:tr>
      <w:tr>
        <w:tc>
          <w:tcPr>
            <w:tcW w:type="dxa" w:w="1072"/>
          </w:tcPr>
          <w:p>
            <w:pPr>
              <w:jc w:val="left"/>
            </w:pPr>
            <w:r/>
            <w:r>
              <w:rPr>
                <w:sz w:val="17"/>
              </w:rPr>
              <w:t>A</w:t>
            </w:r>
          </w:p>
        </w:tc>
        <w:tc>
          <w:tcPr>
            <w:tcW w:type="dxa" w:w="1072"/>
          </w:tcPr>
          <w:p>
            <w:pPr>
              <w:jc w:val="center"/>
            </w:pPr>
            <w:r/>
            <w:r>
              <w:rPr>
                <w:sz w:val="17"/>
              </w:rPr>
              <w:t>clean</w:t>
            </w:r>
          </w:p>
        </w:tc>
        <w:tc>
          <w:tcPr>
            <w:tcW w:type="dxa" w:w="1072"/>
          </w:tcPr>
          <w:p>
            <w:pPr>
              <w:jc w:val="center"/>
            </w:pPr>
            <w:r/>
            <w:r>
              <w:rPr>
                <w:sz w:val="17"/>
              </w:rPr>
              <w:t>f1/c1</w:t>
            </w:r>
          </w:p>
        </w:tc>
        <w:tc>
          <w:tcPr>
            <w:tcW w:type="dxa" w:w="1072"/>
          </w:tcPr>
          <w:p>
            <w:pPr>
              <w:jc w:val="center"/>
            </w:pPr>
            <w:r/>
            <w:r>
              <w:rPr>
                <w:sz w:val="17"/>
              </w:rPr>
              <w:t>-1.155</w:t>
            </w:r>
          </w:p>
        </w:tc>
        <w:tc>
          <w:tcPr>
            <w:tcW w:type="dxa" w:w="1072"/>
          </w:tcPr>
          <w:p>
            <w:pPr>
              <w:jc w:val="center"/>
            </w:pPr>
            <w:r/>
            <w:r>
              <w:rPr>
                <w:sz w:val="17"/>
              </w:rPr>
              <w:t>-0.073</w:t>
            </w:r>
          </w:p>
        </w:tc>
        <w:tc>
          <w:tcPr>
            <w:tcW w:type="dxa" w:w="1072"/>
          </w:tcPr>
          <w:p>
            <w:pPr>
              <w:jc w:val="center"/>
            </w:pPr>
            <w:r/>
            <w:r>
              <w:rPr>
                <w:sz w:val="17"/>
              </w:rPr>
              <w:t>0.049</w:t>
            </w:r>
          </w:p>
        </w:tc>
        <w:tc>
          <w:tcPr>
            <w:tcW w:type="dxa" w:w="1072"/>
          </w:tcPr>
          <w:p>
            <w:pPr>
              <w:jc w:val="center"/>
            </w:pPr>
            <w:r/>
            <w:r>
              <w:rPr>
                <w:sz w:val="17"/>
              </w:rPr>
              <w:t>0.002</w:t>
            </w:r>
          </w:p>
        </w:tc>
        <w:tc>
          <w:tcPr>
            <w:tcW w:type="dxa" w:w="1072"/>
          </w:tcPr>
          <w:p>
            <w:pPr>
              <w:jc w:val="center"/>
            </w:pPr>
            <w:r/>
            <w:r>
              <w:rPr>
                <w:sz w:val="17"/>
              </w:rPr>
              <w:t>0.998</w:t>
            </w:r>
          </w:p>
        </w:tc>
        <w:tc>
          <w:tcPr>
            <w:tcW w:type="dxa" w:w="1072"/>
          </w:tcPr>
          <w:p>
            <w:pPr>
              <w:jc w:val="center"/>
            </w:pPr>
            <w:r/>
            <w:r>
              <w:rPr>
                <w:sz w:val="17"/>
              </w:rPr>
              <w:t>0.395</w:t>
            </w:r>
          </w:p>
        </w:tc>
      </w:tr>
      <w:tr>
        <w:tc>
          <w:tcPr>
            <w:tcW w:type="dxa" w:w="1072"/>
            <w:shd w:val="clear" w:fill="EEF2F8"/>
          </w:tcPr>
          <w:p>
            <w:pPr>
              <w:jc w:val="left"/>
            </w:pPr>
            <w:r/>
            <w:r>
              <w:rPr>
                <w:sz w:val="17"/>
              </w:rPr>
              <w:t>B</w:t>
            </w:r>
          </w:p>
        </w:tc>
        <w:tc>
          <w:tcPr>
            <w:tcW w:type="dxa" w:w="1072"/>
            <w:shd w:val="clear" w:fill="EEF2F8"/>
          </w:tcPr>
          <w:p>
            <w:pPr>
              <w:jc w:val="center"/>
            </w:pPr>
            <w:r/>
            <w:r>
              <w:rPr>
                <w:sz w:val="17"/>
              </w:rPr>
              <w:t>UNPRICED_TODO</w:t>
            </w:r>
          </w:p>
        </w:tc>
        <w:tc>
          <w:tcPr>
            <w:tcW w:type="dxa" w:w="1072"/>
            <w:shd w:val="clear" w:fill="EEF2F8"/>
          </w:tcPr>
          <w:p>
            <w:pPr>
              <w:jc w:val="center"/>
            </w:pPr>
            <w:r/>
            <w:r>
              <w:rPr>
                <w:sz w:val="17"/>
              </w:rPr>
              <w:t>f1/c1</w:t>
            </w:r>
          </w:p>
        </w:tc>
        <w:tc>
          <w:tcPr>
            <w:tcW w:type="dxa" w:w="1072"/>
            <w:shd w:val="clear" w:fill="EEF2F8"/>
          </w:tcPr>
          <w:p>
            <w:pPr>
              <w:jc w:val="center"/>
            </w:pPr>
            <w:r/>
            <w:r>
              <w:rPr>
                <w:sz w:val="17"/>
              </w:rPr>
              <w:t>-0.503</w:t>
            </w:r>
          </w:p>
        </w:tc>
        <w:tc>
          <w:tcPr>
            <w:tcW w:type="dxa" w:w="1072"/>
            <w:shd w:val="clear" w:fill="EEF2F8"/>
          </w:tcPr>
          <w:p>
            <w:pPr>
              <w:jc w:val="center"/>
            </w:pPr>
            <w:r/>
            <w:r>
              <w:rPr>
                <w:sz w:val="17"/>
              </w:rPr>
              <w:t>-0.032</w:t>
            </w:r>
          </w:p>
        </w:tc>
        <w:tc>
          <w:tcPr>
            <w:tcW w:type="dxa" w:w="1072"/>
            <w:shd w:val="clear" w:fill="EEF2F8"/>
          </w:tcPr>
          <w:p>
            <w:pPr>
              <w:jc w:val="center"/>
            </w:pPr>
            <w:r/>
            <w:r>
              <w:rPr>
                <w:sz w:val="17"/>
              </w:rPr>
              <w:t>0.049</w:t>
            </w:r>
          </w:p>
        </w:tc>
        <w:tc>
          <w:tcPr>
            <w:tcW w:type="dxa" w:w="1072"/>
            <w:shd w:val="clear" w:fill="EEF2F8"/>
          </w:tcPr>
          <w:p>
            <w:pPr>
              <w:jc w:val="center"/>
            </w:pPr>
            <w:r/>
            <w:r>
              <w:rPr>
                <w:sz w:val="17"/>
              </w:rPr>
              <w:t>0.030</w:t>
            </w:r>
          </w:p>
        </w:tc>
        <w:tc>
          <w:tcPr>
            <w:tcW w:type="dxa" w:w="1072"/>
            <w:shd w:val="clear" w:fill="EEF2F8"/>
          </w:tcPr>
          <w:p>
            <w:pPr>
              <w:jc w:val="center"/>
            </w:pPr>
            <w:r/>
            <w:r>
              <w:rPr>
                <w:sz w:val="17"/>
              </w:rPr>
              <w:t>0.970</w:t>
            </w:r>
          </w:p>
        </w:tc>
        <w:tc>
          <w:tcPr>
            <w:tcW w:type="dxa" w:w="1072"/>
            <w:shd w:val="clear" w:fill="EEF2F8"/>
          </w:tcPr>
          <w:p>
            <w:pPr>
              <w:jc w:val="center"/>
            </w:pPr>
            <w:r/>
            <w:r>
              <w:rPr>
                <w:sz w:val="17"/>
              </w:rPr>
              <w:t>0.392</w:t>
            </w:r>
          </w:p>
        </w:tc>
      </w:tr>
    </w:tbl>
    <w:p>
      <w:pPr>
        <w:spacing w:after="120"/>
      </w:pPr>
    </w:p>
    <w:p>
      <w:pPr>
        <w:spacing w:after="120"/>
      </w:pPr>
      <w:r>
        <w:rPr>
          <w:b w:val="0"/>
          <w:i w:val="0"/>
          <w:sz w:val="21"/>
        </w:rPr>
        <w:t>Frequency does not rescue net: median holding is ≈1,430 minutes (~1 day) at all frequencies and the best-frequency vote is split across pairs. The absorption guard admitted 29/51 cells at the selected H=10, so the intraday crypto residual is tradeable (the guard binds sensibly) — the problem is purely cost. An earlier daily rolling-z crypto port (Section appendix) was negative on gross already — a signal problem for that weaker engine — and is superseded by A10 as the real test.</w:t>
      </w:r>
    </w:p>
    <w:p>
      <w:pPr>
        <w:jc w:val="center"/>
      </w:pPr>
    </w:p>
    <w:p>
      <w:pPr>
        <w:jc w:val="center"/>
      </w:pPr>
      <w:r>
        <w:drawing>
          <wp:inline xmlns:a="http://schemas.openxmlformats.org/drawingml/2006/main" xmlns:pic="http://schemas.openxmlformats.org/drawingml/2006/picture">
            <wp:extent cx="5303520" cy="3289202"/>
            <wp:docPr id="19" name="Picture 19"/>
            <wp:cNvGraphicFramePr>
              <a:graphicFrameLocks noChangeAspect="1"/>
            </wp:cNvGraphicFramePr>
            <a:graphic>
              <a:graphicData uri="http://schemas.openxmlformats.org/drawingml/2006/picture">
                <pic:pic>
                  <pic:nvPicPr>
                    <pic:cNvPr id="0" name="trade_return_distribution.png"/>
                    <pic:cNvPicPr/>
                  </pic:nvPicPr>
                  <pic:blipFill>
                    <a:blip r:embed="rId27"/>
                    <a:stretch>
                      <a:fillRect/>
                    </a:stretch>
                  </pic:blipFill>
                  <pic:spPr>
                    <a:xfrm>
                      <a:off x="0" y="0"/>
                      <a:ext cx="5303520" cy="3289202"/>
                    </a:xfrm>
                    <a:prstGeom prst="rect"/>
                  </pic:spPr>
                </pic:pic>
              </a:graphicData>
            </a:graphic>
          </wp:inline>
        </w:drawing>
      </w:r>
    </w:p>
    <w:p>
      <w:pPr>
        <w:spacing w:after="200"/>
        <w:jc w:val="center"/>
      </w:pPr>
      <w:r>
        <w:rPr>
          <w:b/>
          <w:color w:val="2E5A88"/>
          <w:sz w:val="18"/>
        </w:rPr>
        <w:t xml:space="preserve">Figure 19. </w:t>
      </w:r>
      <w:r>
        <w:rPr>
          <w:i/>
          <w:color w:val="555555"/>
          <w:sz w:val="18"/>
        </w:rPr>
        <w:t>Crypto per-trade net P&amp;L, Kalman vs rolling-z (Regime A). The typical Kalman trade is profitable (median +14.3 bps) but the mean is −14.4 bps — the left tail plus per-trade cost sink the aggregate. Source: final_crypto_plots.py.</w:t>
      </w:r>
    </w:p>
    <w:p>
      <w:pPr>
        <w:jc w:val="center"/>
      </w:pPr>
    </w:p>
    <w:p>
      <w:pPr>
        <w:jc w:val="center"/>
      </w:pPr>
      <w:r>
        <w:drawing>
          <wp:inline xmlns:a="http://schemas.openxmlformats.org/drawingml/2006/main" xmlns:pic="http://schemas.openxmlformats.org/drawingml/2006/picture">
            <wp:extent cx="5120640" cy="3055553"/>
            <wp:docPr id="20" name="Picture 20"/>
            <wp:cNvGraphicFramePr>
              <a:graphicFrameLocks noChangeAspect="1"/>
            </wp:cNvGraphicFramePr>
            <a:graphic>
              <a:graphicData uri="http://schemas.openxmlformats.org/drawingml/2006/picture">
                <pic:pic>
                  <pic:nvPicPr>
                    <pic:cNvPr id="0" name="crypto_cost_ladder.png"/>
                    <pic:cNvPicPr/>
                  </pic:nvPicPr>
                  <pic:blipFill>
                    <a:blip r:embed="rId28"/>
                    <a:stretch>
                      <a:fillRect/>
                    </a:stretch>
                  </pic:blipFill>
                  <pic:spPr>
                    <a:xfrm>
                      <a:off x="0" y="0"/>
                      <a:ext cx="5120640" cy="3055553"/>
                    </a:xfrm>
                    <a:prstGeom prst="rect"/>
                  </pic:spPr>
                </pic:pic>
              </a:graphicData>
            </a:graphic>
          </wp:inline>
        </w:drawing>
      </w:r>
    </w:p>
    <w:p>
      <w:pPr>
        <w:spacing w:after="200"/>
        <w:jc w:val="center"/>
      </w:pPr>
      <w:r>
        <w:rPr>
          <w:b/>
          <w:color w:val="2E5A88"/>
          <w:sz w:val="18"/>
        </w:rPr>
        <w:t xml:space="preserve">Figure 20. </w:t>
      </w:r>
      <w:r>
        <w:rPr>
          <w:i/>
          <w:color w:val="555555"/>
          <w:sz w:val="18"/>
        </w:rPr>
        <w:t>Crypto cost ladder (daily rolling-z port, Section appendix): decisively negative, gross already below zero. Source: s6_crypto.py.</w:t>
      </w:r>
    </w:p>
    <w:p>
      <w:pPr>
        <w:pStyle w:val="Heading1"/>
      </w:pPr>
      <w:r>
        <w:rPr>
          <w:color w:val="1F3255"/>
        </w:rPr>
        <w:t>6.  Discussion — Methodological Lessons</w:t>
      </w:r>
    </w:p>
    <w:p>
      <w:pPr>
        <w:spacing w:after="120"/>
      </w:pPr>
      <w:r>
        <w:rPr>
          <w:b/>
          <w:i w:val="0"/>
          <w:color w:val="2E5A88"/>
          <w:sz w:val="21"/>
        </w:rPr>
        <w:t xml:space="preserve">Concentration is a universe problem, not a sizing problem.  </w:t>
      </w:r>
      <w:r>
        <w:rPr>
          <w:b w:val="0"/>
          <w:i w:val="0"/>
          <w:sz w:val="21"/>
        </w:rPr>
        <w:t>Phase 2B's vol-matched tie (Sharpe 0.941 vs 0.930) shows risk controls cannot neutralise drawdown that comes from cointegrated pairs clustering in a few sectors that dislocate together. The remedy is breadth and de-correlation in selection, not leverage targeting.</w:t>
      </w:r>
    </w:p>
    <w:p>
      <w:pPr>
        <w:spacing w:after="120"/>
      </w:pPr>
      <w:r>
        <w:rPr>
          <w:b/>
          <w:i w:val="0"/>
          <w:color w:val="2E5A88"/>
          <w:sz w:val="21"/>
        </w:rPr>
        <w:t xml:space="preserve">Cost-aware thresholds reduce but do not eliminate over-trading.  </w:t>
      </w:r>
      <w:r>
        <w:rPr>
          <w:b w:val="0"/>
          <w:i w:val="0"/>
          <w:sz w:val="21"/>
        </w:rPr>
        <w:t>Bertram's optimal a* widens with cost and flattens the NSE cost ladder relative to a fixed-band rolling-z — but on crypto, where turnover is intrinsically high, even cost-aware widening leaves net deeply negative. Cost amortisation is necessary, not sufficient.</w:t>
      </w:r>
    </w:p>
    <w:p>
      <w:pPr>
        <w:spacing w:after="120"/>
      </w:pPr>
      <w:r>
        <w:rPr>
          <w:b/>
          <w:i w:val="0"/>
          <w:color w:val="2E5A88"/>
          <w:sz w:val="21"/>
        </w:rPr>
        <w:t xml:space="preserve">In-sample selection inflates Sharpe, and deflation is the arbiter.  </w:t>
      </w:r>
      <w:r>
        <w:rPr>
          <w:b w:val="0"/>
          <w:i w:val="0"/>
          <w:sz w:val="21"/>
        </w:rPr>
        <w:t>The same matched-universe Kalman Sharpe of ~2.1 reads very differently once N=46 trials are priced in: DSR 0.808 but p=0.192. The Deflated Sharpe Ratio, not the raw Sharpe, is what separates an indicative result from a deployable one.</w:t>
      </w:r>
    </w:p>
    <w:p>
      <w:pPr>
        <w:spacing w:after="120"/>
      </w:pPr>
      <w:r>
        <w:rPr>
          <w:b/>
          <w:i w:val="0"/>
          <w:color w:val="2E5A88"/>
          <w:sz w:val="21"/>
        </w:rPr>
        <w:t xml:space="preserve">The n=2 fragility dominates every NSE conclusion.  </w:t>
      </w:r>
      <w:r>
        <w:rPr>
          <w:b w:val="0"/>
          <w:i w:val="0"/>
          <w:sz w:val="21"/>
        </w:rPr>
        <w:t>Two intraday pair-folds cannot support an iid validation framework: the CSCV blocks straddle a fold join and the DSR series is regime-mixed. No amount of careful in-sample work overcomes the absence of cross-sectional width — which is precisely why the crypto retest exists.</w:t>
      </w:r>
    </w:p>
    <w:p>
      <w:pPr>
        <w:spacing w:after="120"/>
      </w:pPr>
      <w:r>
        <w:rPr>
          <w:b/>
          <w:i w:val="0"/>
          <w:color w:val="2E5A88"/>
          <w:sz w:val="21"/>
        </w:rPr>
        <w:t xml:space="preserve">Dynamic hedge ratios are weakly identified at high frequency.  </w:t>
      </w:r>
      <w:r>
        <w:rPr>
          <w:b w:val="0"/>
          <w:i w:val="0"/>
          <w:sz w:val="21"/>
        </w:rPr>
        <w:t>β collapses on every finite tracking horizon because intraday increment co-movement is too weak to identify it. The frozen β is not a simplification of convenience — it is what the data will support; tracking β requires lower-frequency estimation or a genuinely co-moving universe.</w:t>
      </w:r>
    </w:p>
    <w:p>
      <w:pPr>
        <w:spacing w:after="120"/>
      </w:pPr>
      <w:r>
        <w:rPr>
          <w:b/>
          <w:i w:val="0"/>
          <w:color w:val="2E5A88"/>
          <w:sz w:val="21"/>
        </w:rPr>
        <w:t xml:space="preserve">The cost wall is the binding constraint.  </w:t>
      </w:r>
      <w:r>
        <w:rPr>
          <w:b w:val="0"/>
          <w:i w:val="0"/>
          <w:sz w:val="21"/>
        </w:rPr>
        <w:t>Across both universes the adaptive engine wins on gross and on the engine ordering, yet loses on net. The mechanism is real and universe-general; the obstacle is execution cost at the turnover the signal demands. This reframes the research question from 'find a better signal' to 'execute the same signal more cheaply'.</w:t>
      </w:r>
    </w:p>
    <w:p>
      <w:pPr>
        <w:pStyle w:val="Heading1"/>
      </w:pPr>
      <w:r>
        <w:rPr>
          <w:color w:val="1F3255"/>
        </w:rPr>
        <w:t>7.  Conclusion</w:t>
      </w:r>
    </w:p>
    <w:p>
      <w:pPr>
        <w:spacing w:after="120"/>
      </w:pPr>
      <w:r>
        <w:rPr>
          <w:b w:val="0"/>
          <w:i w:val="0"/>
          <w:sz w:val="21"/>
        </w:rPr>
        <w:t xml:space="preserve">We have built and validated, end-to-end, an adaptive pairs-trading methodology, and the honest verdict is a rigorous negative: </w:t>
      </w:r>
      <w:r>
        <w:rPr>
          <w:b/>
          <w:i w:val="0"/>
          <w:sz w:val="21"/>
        </w:rPr>
        <w:t>a real, repeatable, universe-general mean-reversion mechanism that does not clear realistic intraday transaction costs.</w:t>
      </w:r>
    </w:p>
    <w:p>
      <w:pPr>
        <w:spacing w:after="120"/>
      </w:pPr>
      <w:r>
        <w:rPr>
          <w:b w:val="0"/>
          <w:i w:val="0"/>
          <w:sz w:val="21"/>
        </w:rPr>
        <w:t>The adaptive-equilibrium filter is genuine — it beats a frozen cointegration relationship on gross and net Sharpe on the matched NSE universe, and the same ordering replicates on an independent crypto universe where it is uniquely positive on gross. That cross-universe replication is the contribution: the mechanism is not an NSE-specific artefact. But the strongest in-sample NSE result is statistically indistinguishable from luck after Deflated-Sharpe correction (DSR p=0.192, n=2), and on the breadth crypto universe — where the statistics are trustworthy — the net edge is decisively negative (net DSR 0.002).</w:t>
      </w:r>
    </w:p>
    <w:p>
      <w:pPr>
        <w:spacing w:after="120"/>
      </w:pPr>
      <w:r>
        <w:rPr>
          <w:b/>
          <w:i w:val="0"/>
          <w:sz w:val="21"/>
        </w:rPr>
        <w:t xml:space="preserve">What would change the verdict is structural, not parametric. </w:t>
      </w:r>
      <w:r>
        <w:rPr>
          <w:b w:val="0"/>
          <w:i w:val="0"/>
          <w:sz w:val="21"/>
        </w:rPr>
        <w:t>Because gross is alive and net is dead, the lever is turnover and execution cost, not the signal: lower-frequency re-anchoring with fewer round-trips, a cheaper venue or maker/rebate execution, and a turnover-aware variant of the same adaptive engine. Re-parameterising the signal will not help; re-engineering the cost will. We present this as a methodological result — a disciplined demonstration of where a plausible edge actually dies, and why deflation and breadth, not a larger in-sample Sharpe, are the instruments that reveal it.</w:t>
      </w:r>
    </w:p>
    <w:p>
      <w:pPr>
        <w:pStyle w:val="Heading1"/>
      </w:pPr>
      <w:r>
        <w:rPr>
          <w:color w:val="1F3255"/>
        </w:rPr>
        <w:t>8.  Limitations and Threats to Validity</w:t>
      </w:r>
    </w:p>
    <w:p>
      <w:pPr>
        <w:spacing w:after="120"/>
      </w:pPr>
      <w:r>
        <w:rPr>
          <w:b/>
          <w:i w:val="0"/>
          <w:color w:val="2E5A88"/>
          <w:sz w:val="21"/>
        </w:rPr>
        <w:t xml:space="preserve">Sample size (n=2 intraday).  </w:t>
      </w:r>
      <w:r>
        <w:rPr>
          <w:b w:val="0"/>
          <w:i w:val="0"/>
          <w:sz w:val="21"/>
        </w:rPr>
        <w:t>The matched NSE intraday universe is two pair-folds. Every NSE intraday conclusion — including the headline Kalman Sharpe and its DSR — is a two-fold-concatenation statistic and is labelled indicative throughout.</w:t>
      </w:r>
    </w:p>
    <w:p>
      <w:pPr>
        <w:spacing w:after="120"/>
      </w:pPr>
      <w:r>
        <w:rPr>
          <w:b/>
          <w:i w:val="0"/>
          <w:color w:val="2E5A88"/>
          <w:sz w:val="21"/>
        </w:rPr>
        <w:t xml:space="preserve">Non-iid, regime-mixed return series.  </w:t>
      </w:r>
      <w:r>
        <w:rPr>
          <w:b w:val="0"/>
          <w:i w:val="0"/>
          <w:sz w:val="21"/>
        </w:rPr>
        <w:t>DSR assumes iid returns; the concatenated folds are serially dependent and span different volatility regimes, and CSCV blocks straddle the fold join. The deflation is therefore an approximation that flatters neither direction cleanly.</w:t>
      </w:r>
    </w:p>
    <w:p>
      <w:pPr>
        <w:spacing w:after="120"/>
      </w:pPr>
      <w:r>
        <w:rPr>
          <w:b/>
          <w:i w:val="0"/>
          <w:color w:val="2E5A88"/>
          <w:sz w:val="21"/>
        </w:rPr>
        <w:t xml:space="preserve">Dividend-unadjusted prices.  </w:t>
      </w:r>
      <w:r>
        <w:rPr>
          <w:b w:val="0"/>
          <w:i w:val="0"/>
          <w:sz w:val="21"/>
        </w:rPr>
        <w:t>The NSE history is split/bonus-only; total-return effects are absent, which can bias spread levels for high-yield names.</w:t>
      </w:r>
    </w:p>
    <w:p>
      <w:pPr>
        <w:spacing w:after="120"/>
      </w:pPr>
      <w:r>
        <w:rPr>
          <w:b/>
          <w:i w:val="0"/>
          <w:color w:val="2E5A88"/>
          <w:sz w:val="21"/>
        </w:rPr>
        <w:t xml:space="preserve">Crypto funding cost unpriced [TODO].  </w:t>
      </w:r>
      <w:r>
        <w:rPr>
          <w:b w:val="0"/>
          <w:i w:val="0"/>
          <w:sz w:val="21"/>
        </w:rPr>
        <w:t>No funding series was available, so every Regime-B (multi-day carry) crypto number is funding-unpriced. Funding would worsen, not rescue, an already-negative net — but the exact magnitude is unquantified.</w:t>
      </w:r>
    </w:p>
    <w:p>
      <w:pPr>
        <w:spacing w:after="120"/>
      </w:pPr>
      <w:r>
        <w:rPr>
          <w:b/>
          <w:i w:val="0"/>
          <w:color w:val="2E5A88"/>
          <w:sz w:val="21"/>
        </w:rPr>
        <w:t xml:space="preserve">Labelled-default cost parameters.  </w:t>
      </w:r>
      <w:r>
        <w:rPr>
          <w:b w:val="0"/>
          <w:i w:val="0"/>
          <w:sz w:val="21"/>
        </w:rPr>
        <w:t>The crypto taker fee (5 bps/side) and the liquidity gate ($10M median quote-vol) are reasonable but venue-dependent defaults, not measured from a specific exchange's schedule.</w:t>
      </w:r>
    </w:p>
    <w:p>
      <w:pPr>
        <w:spacing w:after="120"/>
      </w:pPr>
      <w:r>
        <w:rPr>
          <w:b/>
          <w:i w:val="0"/>
          <w:color w:val="2E5A88"/>
          <w:sz w:val="21"/>
        </w:rPr>
        <w:t xml:space="preserve">Single risk-management placeholder.  </w:t>
      </w:r>
      <w:r>
        <w:rPr>
          <w:b w:val="0"/>
          <w:i w:val="0"/>
          <w:sz w:val="21"/>
        </w:rPr>
        <w:t>Crypto risk management is a single hard z-stop (3.5σ), not a tuned framework; the −73% drawdowns are not risk-optimised.</w:t>
      </w:r>
    </w:p>
    <w:p>
      <w:pPr>
        <w:spacing w:after="120"/>
      </w:pPr>
      <w:r>
        <w:rPr>
          <w:b/>
          <w:i w:val="0"/>
          <w:color w:val="2E5A88"/>
          <w:sz w:val="21"/>
        </w:rPr>
        <w:t xml:space="preserve">Selection-grid trial count.  </w:t>
      </w:r>
      <w:r>
        <w:rPr>
          <w:b w:val="0"/>
          <w:i w:val="0"/>
          <w:sz w:val="21"/>
        </w:rPr>
        <w:t>The honest N (46 NSE, 28 crypto) is reconstructed from the search grids rather than pre-registered; implicit selections (half-life bands, best-of-cell reporting) compound N further, so the true deflator is if anything stronger than reported.</w:t>
      </w:r>
    </w:p>
    <w:p>
      <w:pPr>
        <w:spacing w:after="120"/>
      </w:pPr>
      <w:r>
        <w:rPr>
          <w:b/>
          <w:i w:val="0"/>
          <w:color w:val="2E5A88"/>
          <w:sz w:val="21"/>
        </w:rPr>
        <w:t xml:space="preserve">Coint-stability gate uncalibrated.  </w:t>
      </w:r>
      <w:r>
        <w:rPr>
          <w:b w:val="0"/>
          <w:i w:val="0"/>
          <w:sz w:val="21"/>
        </w:rPr>
        <w:t>The rolling-ADF blacklist fires 19/19 on NSE and cannot be calibrated without a broad-universe base rate; its binary verdict is deferred.</w:t>
      </w:r>
    </w:p>
    <w:p>
      <w:pPr>
        <w:pStyle w:val="Heading1"/>
      </w:pPr>
      <w:r>
        <w:rPr>
          <w:color w:val="1F3255"/>
        </w:rPr>
        <w:t>9.  Future Work</w:t>
      </w:r>
    </w:p>
    <w:p>
      <w:pPr>
        <w:spacing w:after="120"/>
      </w:pPr>
      <w:r>
        <w:rPr>
          <w:b w:val="0"/>
          <w:i w:val="0"/>
          <w:sz w:val="21"/>
        </w:rPr>
        <w:t>The deferred units, ordered by how much each could move the headline:</w:t>
      </w:r>
    </w:p>
    <w:p>
      <w:pPr>
        <w:pStyle w:val="ListNumber"/>
      </w:pPr>
      <w:r>
        <w:rPr>
          <w:b/>
          <w:sz w:val="21"/>
        </w:rPr>
        <w:t xml:space="preserve">Low-cost / turnover-aware execution:  </w:t>
      </w:r>
      <w:r>
        <w:rPr>
          <w:sz w:val="21"/>
        </w:rPr>
        <w:t>the binding constraint. Maker/rebate execution, lower-frequency re-anchoring (daily-or-coarser μ updates with far fewer round-trips), and a turnover penalty inside the Bertram objective — the only lever that can flip the crypto net sign.</w:t>
      </w:r>
    </w:p>
    <w:p>
      <w:pPr>
        <w:pStyle w:val="ListNumber"/>
      </w:pPr>
      <w:r>
        <w:rPr>
          <w:b/>
          <w:sz w:val="21"/>
        </w:rPr>
        <w:t xml:space="preserve">Lower-frequency β estimation:  </w:t>
      </w:r>
      <w:r>
        <w:rPr>
          <w:sz w:val="21"/>
        </w:rPr>
        <w:t>the path the data demands — estimate the hedge ratio where the legs actually co-move (daily) and trade the residual intraday, or move to a venue with genuine intraday co-movement.</w:t>
      </w:r>
    </w:p>
    <w:p>
      <w:pPr>
        <w:pStyle w:val="ListNumber"/>
      </w:pPr>
      <w:r>
        <w:rPr>
          <w:b/>
          <w:sz w:val="21"/>
        </w:rPr>
        <w:t xml:space="preserve">Regime/HMM, meta-labelling, RL sizing:  </w:t>
      </w:r>
      <w:r>
        <w:rPr>
          <w:sz w:val="21"/>
        </w:rPr>
        <w:t>regime/HMM gating of when to trade, meta-labelling of trade quality, and RL-based position sizing — the deferred modelling units, to be added only after the cost wall is addressed (sizing cannot rescue a net-negative edge).</w:t>
      </w:r>
    </w:p>
    <w:p>
      <w:pPr>
        <w:pStyle w:val="ListNumber"/>
      </w:pPr>
      <w:r>
        <w:rPr>
          <w:b/>
          <w:sz w:val="21"/>
        </w:rPr>
        <w:t xml:space="preserve">Breadth-aware selection:  </w:t>
      </w:r>
      <w:r>
        <w:rPr>
          <w:sz w:val="21"/>
        </w:rPr>
        <w:t>PCA / DBSCAN clustering for de-correlated pair selection — directly attacks the concentration finding from Phase 2B.</w:t>
      </w:r>
    </w:p>
    <w:p>
      <w:pPr>
        <w:pStyle w:val="ListNumber"/>
      </w:pPr>
      <w:r>
        <w:rPr>
          <w:b/>
          <w:sz w:val="21"/>
        </w:rPr>
        <w:t xml:space="preserve">CME / futures port:  </w:t>
      </w:r>
      <w:r>
        <w:rPr>
          <w:sz w:val="21"/>
        </w:rPr>
        <w:t>a regulated-futures deployment (e.g. CME) where the NSE cash-market short and lot constraints do not bind and execution is cheaper — the eventual venue rationale behind the crypto retest.</w:t>
      </w:r>
    </w:p>
    <w:p>
      <w:r>
        <w:br w:type="page"/>
      </w:r>
    </w:p>
    <w:p>
      <w:pPr>
        <w:pStyle w:val="Heading1"/>
      </w:pPr>
      <w:r>
        <w:rPr>
          <w:color w:val="1F3255"/>
        </w:rPr>
        <w:t>10.  Appendices</w:t>
      </w:r>
    </w:p>
    <w:p>
      <w:pPr>
        <w:pStyle w:val="Heading2"/>
      </w:pPr>
      <w:r>
        <w:rPr>
          <w:color w:val="1F3255"/>
        </w:rPr>
        <w:t>A.  ASSUMPTIONS register and open [TODO]s</w:t>
      </w:r>
    </w:p>
    <w:p>
      <w:pPr>
        <w:spacing w:after="60"/>
      </w:pPr>
      <w:r>
        <w:rPr>
          <w:b/>
          <w:color w:val="2E5A88"/>
          <w:sz w:val="18"/>
        </w:rPr>
        <w:t xml:space="preserve">Table A1. </w:t>
      </w:r>
      <w:r>
        <w:rPr>
          <w:i/>
          <w:color w:val="555555"/>
          <w:sz w:val="18"/>
        </w:rPr>
        <w:t>Labelled defaults and open [TODO]s carried through the study (docs/phase4_report.md §0).</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255"/>
          </w:tcPr>
          <w:p>
            <w:pPr>
              <w:jc w:val="left"/>
            </w:pPr>
            <w:r/>
            <w:r>
              <w:rPr>
                <w:b/>
                <w:color w:val="FFFFFF"/>
                <w:sz w:val="17"/>
              </w:rPr>
              <w:t>#</w:t>
            </w:r>
          </w:p>
        </w:tc>
        <w:tc>
          <w:tcPr>
            <w:tcW w:type="dxa" w:w="2412"/>
            <w:shd w:val="clear" w:fill="1F3255"/>
          </w:tcPr>
          <w:p>
            <w:pPr>
              <w:jc w:val="center"/>
            </w:pPr>
            <w:r/>
            <w:r>
              <w:rPr>
                <w:b/>
                <w:color w:val="FFFFFF"/>
                <w:sz w:val="17"/>
              </w:rPr>
              <w:t>assumption / [TODO]</w:t>
            </w:r>
          </w:p>
        </w:tc>
        <w:tc>
          <w:tcPr>
            <w:tcW w:type="dxa" w:w="2412"/>
            <w:shd w:val="clear" w:fill="1F3255"/>
          </w:tcPr>
          <w:p>
            <w:pPr>
              <w:jc w:val="center"/>
            </w:pPr>
            <w:r/>
            <w:r>
              <w:rPr>
                <w:b/>
                <w:color w:val="FFFFFF"/>
                <w:sz w:val="17"/>
              </w:rPr>
              <w:t>value used</w:t>
            </w:r>
          </w:p>
        </w:tc>
        <w:tc>
          <w:tcPr>
            <w:tcW w:type="dxa" w:w="2412"/>
            <w:shd w:val="clear" w:fill="1F3255"/>
          </w:tcPr>
          <w:p>
            <w:pPr>
              <w:jc w:val="center"/>
            </w:pPr>
            <w:r/>
            <w:r>
              <w:rPr>
                <w:b/>
                <w:color w:val="FFFFFF"/>
                <w:sz w:val="17"/>
              </w:rPr>
              <w:t>what would change it</w:t>
            </w:r>
          </w:p>
        </w:tc>
      </w:tr>
      <w:tr>
        <w:tc>
          <w:tcPr>
            <w:tcW w:type="dxa" w:w="2412"/>
          </w:tcPr>
          <w:p>
            <w:pPr>
              <w:jc w:val="left"/>
            </w:pPr>
            <w:r/>
            <w:r>
              <w:rPr>
                <w:sz w:val="17"/>
              </w:rPr>
              <w:t>A1</w:t>
            </w:r>
          </w:p>
        </w:tc>
        <w:tc>
          <w:tcPr>
            <w:tcW w:type="dxa" w:w="2412"/>
          </w:tcPr>
          <w:p>
            <w:pPr>
              <w:jc w:val="center"/>
            </w:pPr>
            <w:r/>
            <w:r>
              <w:rPr>
                <w:sz w:val="17"/>
              </w:rPr>
              <w:t>DSR/PBO NSE sample length</w:t>
            </w:r>
          </w:p>
        </w:tc>
        <w:tc>
          <w:tcPr>
            <w:tcW w:type="dxa" w:w="2412"/>
          </w:tcPr>
          <w:p>
            <w:pPr>
              <w:jc w:val="center"/>
            </w:pPr>
            <w:r/>
            <w:r>
              <w:rPr>
                <w:sz w:val="17"/>
              </w:rPr>
              <w:t>n=2 pair-folds, ~504 sessions</w:t>
            </w:r>
          </w:p>
        </w:tc>
        <w:tc>
          <w:tcPr>
            <w:tcW w:type="dxa" w:w="2412"/>
          </w:tcPr>
          <w:p>
            <w:pPr>
              <w:jc w:val="center"/>
            </w:pPr>
            <w:r/>
            <w:r>
              <w:rPr>
                <w:sz w:val="17"/>
              </w:rPr>
              <w:t>broaden universe (crypto) for cross-sectional width</w:t>
            </w:r>
          </w:p>
        </w:tc>
      </w:tr>
      <w:tr>
        <w:tc>
          <w:tcPr>
            <w:tcW w:type="dxa" w:w="2412"/>
            <w:shd w:val="clear" w:fill="EEF2F8"/>
          </w:tcPr>
          <w:p>
            <w:pPr>
              <w:jc w:val="left"/>
            </w:pPr>
            <w:r/>
            <w:r>
              <w:rPr>
                <w:sz w:val="17"/>
              </w:rPr>
              <w:t>A2</w:t>
            </w:r>
          </w:p>
        </w:tc>
        <w:tc>
          <w:tcPr>
            <w:tcW w:type="dxa" w:w="2412"/>
            <w:shd w:val="clear" w:fill="EEF2F8"/>
          </w:tcPr>
          <w:p>
            <w:pPr>
              <w:jc w:val="center"/>
            </w:pPr>
            <w:r/>
            <w:r>
              <w:rPr>
                <w:sz w:val="17"/>
              </w:rPr>
              <w:t>Honest trial count N</w:t>
            </w:r>
          </w:p>
        </w:tc>
        <w:tc>
          <w:tcPr>
            <w:tcW w:type="dxa" w:w="2412"/>
            <w:shd w:val="clear" w:fill="EEF2F8"/>
          </w:tcPr>
          <w:p>
            <w:pPr>
              <w:jc w:val="center"/>
            </w:pPr>
            <w:r/>
            <w:r>
              <w:rPr>
                <w:sz w:val="17"/>
              </w:rPr>
              <w:t>46 (NSE), 28 (crypto)</w:t>
            </w:r>
          </w:p>
        </w:tc>
        <w:tc>
          <w:tcPr>
            <w:tcW w:type="dxa" w:w="2412"/>
            <w:shd w:val="clear" w:fill="EEF2F8"/>
          </w:tcPr>
          <w:p>
            <w:pPr>
              <w:jc w:val="center"/>
            </w:pPr>
            <w:r/>
            <w:r>
              <w:rPr>
                <w:sz w:val="17"/>
              </w:rPr>
              <w:t>maintain a pre-registered trial ledger</w:t>
            </w:r>
          </w:p>
        </w:tc>
      </w:tr>
      <w:tr>
        <w:tc>
          <w:tcPr>
            <w:tcW w:type="dxa" w:w="2412"/>
          </w:tcPr>
          <w:p>
            <w:pPr>
              <w:jc w:val="left"/>
            </w:pPr>
            <w:r/>
            <w:r>
              <w:rPr>
                <w:sz w:val="17"/>
              </w:rPr>
              <w:t>A7</w:t>
            </w:r>
          </w:p>
        </w:tc>
        <w:tc>
          <w:tcPr>
            <w:tcW w:type="dxa" w:w="2412"/>
          </w:tcPr>
          <w:p>
            <w:pPr>
              <w:jc w:val="center"/>
            </w:pPr>
            <w:r/>
            <w:r>
              <w:rPr>
                <w:sz w:val="17"/>
              </w:rPr>
              <w:t>Crypto taker fee</w:t>
            </w:r>
          </w:p>
        </w:tc>
        <w:tc>
          <w:tcPr>
            <w:tcW w:type="dxa" w:w="2412"/>
          </w:tcPr>
          <w:p>
            <w:pPr>
              <w:jc w:val="center"/>
            </w:pPr>
            <w:r/>
            <w:r>
              <w:rPr>
                <w:sz w:val="17"/>
              </w:rPr>
              <w:t>5 bps/side (labelled default)</w:t>
            </w:r>
          </w:p>
        </w:tc>
        <w:tc>
          <w:tcPr>
            <w:tcW w:type="dxa" w:w="2412"/>
          </w:tcPr>
          <w:p>
            <w:pPr>
              <w:jc w:val="center"/>
            </w:pPr>
            <w:r/>
            <w:r>
              <w:rPr>
                <w:sz w:val="17"/>
              </w:rPr>
              <w:t>confirm vs venue schedule (gross already negative)</w:t>
            </w:r>
          </w:p>
        </w:tc>
      </w:tr>
      <w:tr>
        <w:tc>
          <w:tcPr>
            <w:tcW w:type="dxa" w:w="2412"/>
            <w:shd w:val="clear" w:fill="EEF2F8"/>
          </w:tcPr>
          <w:p>
            <w:pPr>
              <w:jc w:val="left"/>
            </w:pPr>
            <w:r/>
            <w:r>
              <w:rPr>
                <w:sz w:val="17"/>
              </w:rPr>
              <w:t>A8</w:t>
            </w:r>
          </w:p>
        </w:tc>
        <w:tc>
          <w:tcPr>
            <w:tcW w:type="dxa" w:w="2412"/>
            <w:shd w:val="clear" w:fill="EEF2F8"/>
          </w:tcPr>
          <w:p>
            <w:pPr>
              <w:jc w:val="center"/>
            </w:pPr>
            <w:r/>
            <w:r>
              <w:rPr>
                <w:sz w:val="17"/>
              </w:rPr>
              <w:t>Crypto funding series</w:t>
            </w:r>
          </w:p>
        </w:tc>
        <w:tc>
          <w:tcPr>
            <w:tcW w:type="dxa" w:w="2412"/>
            <w:shd w:val="clear" w:fill="EEF2F8"/>
          </w:tcPr>
          <w:p>
            <w:pPr>
              <w:jc w:val="center"/>
            </w:pPr>
            <w:r/>
            <w:r>
              <w:rPr>
                <w:sz w:val="17"/>
              </w:rPr>
              <w:t>ABSENT → funding = 0 [TODO]</w:t>
            </w:r>
          </w:p>
        </w:tc>
        <w:tc>
          <w:tcPr>
            <w:tcW w:type="dxa" w:w="2412"/>
            <w:shd w:val="clear" w:fill="EEF2F8"/>
          </w:tcPr>
          <w:p>
            <w:pPr>
              <w:jc w:val="center"/>
            </w:pPr>
            <w:r/>
            <w:r>
              <w:rPr>
                <w:sz w:val="17"/>
              </w:rPr>
              <w:t>pull a funding series; prices Regime-B carry</w:t>
            </w:r>
          </w:p>
        </w:tc>
      </w:tr>
      <w:tr>
        <w:tc>
          <w:tcPr>
            <w:tcW w:type="dxa" w:w="2412"/>
          </w:tcPr>
          <w:p>
            <w:pPr>
              <w:jc w:val="left"/>
            </w:pPr>
            <w:r/>
            <w:r>
              <w:rPr>
                <w:sz w:val="17"/>
              </w:rPr>
              <w:t>A9</w:t>
            </w:r>
          </w:p>
        </w:tc>
        <w:tc>
          <w:tcPr>
            <w:tcW w:type="dxa" w:w="2412"/>
          </w:tcPr>
          <w:p>
            <w:pPr>
              <w:jc w:val="center"/>
            </w:pPr>
            <w:r/>
            <w:r>
              <w:rPr>
                <w:sz w:val="17"/>
              </w:rPr>
              <w:t>Crypto risk management</w:t>
            </w:r>
          </w:p>
        </w:tc>
        <w:tc>
          <w:tcPr>
            <w:tcW w:type="dxa" w:w="2412"/>
          </w:tcPr>
          <w:p>
            <w:pPr>
              <w:jc w:val="center"/>
            </w:pPr>
            <w:r/>
            <w:r>
              <w:rPr>
                <w:sz w:val="17"/>
              </w:rPr>
              <w:t>single z-stop 3.5σ, not tuned</w:t>
            </w:r>
          </w:p>
        </w:tc>
        <w:tc>
          <w:tcPr>
            <w:tcW w:type="dxa" w:w="2412"/>
          </w:tcPr>
          <w:p>
            <w:pPr>
              <w:jc w:val="center"/>
            </w:pPr>
            <w:r/>
            <w:r>
              <w:rPr>
                <w:sz w:val="17"/>
              </w:rPr>
              <w:t>dedicated risk framework</w:t>
            </w:r>
          </w:p>
        </w:tc>
      </w:tr>
      <w:tr>
        <w:tc>
          <w:tcPr>
            <w:tcW w:type="dxa" w:w="2412"/>
            <w:shd w:val="clear" w:fill="EEF2F8"/>
          </w:tcPr>
          <w:p>
            <w:pPr>
              <w:jc w:val="left"/>
            </w:pPr>
            <w:r/>
            <w:r>
              <w:rPr>
                <w:sz w:val="17"/>
              </w:rPr>
              <w:t>A_LIQ</w:t>
            </w:r>
          </w:p>
        </w:tc>
        <w:tc>
          <w:tcPr>
            <w:tcW w:type="dxa" w:w="2412"/>
            <w:shd w:val="clear" w:fill="EEF2F8"/>
          </w:tcPr>
          <w:p>
            <w:pPr>
              <w:jc w:val="center"/>
            </w:pPr>
            <w:r/>
            <w:r>
              <w:rPr>
                <w:sz w:val="17"/>
              </w:rPr>
              <w:t>Crypto liquidity gate</w:t>
            </w:r>
          </w:p>
        </w:tc>
        <w:tc>
          <w:tcPr>
            <w:tcW w:type="dxa" w:w="2412"/>
            <w:shd w:val="clear" w:fill="EEF2F8"/>
          </w:tcPr>
          <w:p>
            <w:pPr>
              <w:jc w:val="center"/>
            </w:pPr>
            <w:r/>
            <w:r>
              <w:rPr>
                <w:sz w:val="17"/>
              </w:rPr>
              <w:t>median quote-vol ≥ $10M</w:t>
            </w:r>
          </w:p>
        </w:tc>
        <w:tc>
          <w:tcPr>
            <w:tcW w:type="dxa" w:w="2412"/>
            <w:shd w:val="clear" w:fill="EEF2F8"/>
          </w:tcPr>
          <w:p>
            <w:pPr>
              <w:jc w:val="center"/>
            </w:pPr>
            <w:r/>
            <w:r>
              <w:rPr>
                <w:sz w:val="17"/>
              </w:rPr>
              <w:t>keeps 22/30; $50M leaves 7 (too thin)</w:t>
            </w:r>
          </w:p>
        </w:tc>
      </w:tr>
      <w:tr>
        <w:tc>
          <w:tcPr>
            <w:tcW w:type="dxa" w:w="2412"/>
          </w:tcPr>
          <w:p>
            <w:pPr>
              <w:jc w:val="left"/>
            </w:pPr>
            <w:r/>
            <w:r>
              <w:rPr>
                <w:sz w:val="17"/>
              </w:rPr>
              <w:t>A6</w:t>
            </w:r>
          </w:p>
        </w:tc>
        <w:tc>
          <w:tcPr>
            <w:tcW w:type="dxa" w:w="2412"/>
          </w:tcPr>
          <w:p>
            <w:pPr>
              <w:jc w:val="center"/>
            </w:pPr>
            <w:r/>
            <w:r>
              <w:rPr>
                <w:sz w:val="17"/>
              </w:rPr>
              <w:t>Coint-stability threshold</w:t>
            </w:r>
          </w:p>
        </w:tc>
        <w:tc>
          <w:tcPr>
            <w:tcW w:type="dxa" w:w="2412"/>
          </w:tcPr>
          <w:p>
            <w:pPr>
              <w:jc w:val="center"/>
            </w:pPr>
            <w:r/>
            <w:r>
              <w:rPr>
                <w:sz w:val="17"/>
              </w:rPr>
              <w:t>60d / p&gt;0.10 / 3 consecutive</w:t>
            </w:r>
          </w:p>
        </w:tc>
        <w:tc>
          <w:tcPr>
            <w:tcW w:type="dxa" w:w="2412"/>
          </w:tcPr>
          <w:p>
            <w:pPr>
              <w:jc w:val="center"/>
            </w:pPr>
            <w:r/>
            <w:r>
              <w:rPr>
                <w:sz w:val="17"/>
              </w:rPr>
              <w:t>needs broad-universe base rate to calibrate</w:t>
            </w:r>
          </w:p>
        </w:tc>
      </w:tr>
    </w:tbl>
    <w:p>
      <w:pPr>
        <w:spacing w:after="120"/>
      </w:pPr>
    </w:p>
    <w:p>
      <w:pPr>
        <w:spacing w:after="120"/>
      </w:pPr>
      <w:r>
        <w:rPr>
          <w:b/>
          <w:i w:val="0"/>
          <w:sz w:val="21"/>
        </w:rPr>
        <w:t>Inter-document inconsistencies flagged during assembly:</w:t>
      </w:r>
    </w:p>
    <w:p>
      <w:pPr>
        <w:pStyle w:val="ListBullet"/>
      </w:pPr>
      <w:r>
        <w:rPr>
          <w:b/>
          <w:sz w:val="21"/>
        </w:rPr>
        <w:t xml:space="preserve">341 vs 342 symbols:  </w:t>
      </w:r>
      <w:r>
        <w:rPr>
          <w:sz w:val="21"/>
        </w:rPr>
        <w:t>the clean log records 342 symbols post-cascade; the backtest loads 341. Difference = one share-class duplicate dropped at backtest. Resolved to 341 trading universe.</w:t>
      </w:r>
    </w:p>
    <w:p>
      <w:pPr>
        <w:pStyle w:val="ListBullet"/>
      </w:pPr>
      <w:r>
        <w:rPr>
          <w:b/>
          <w:sz w:val="21"/>
        </w:rPr>
        <w:t xml:space="preserve">20.886 vs 20.915:  </w:t>
      </w:r>
      <w:r>
        <w:rPr>
          <w:sz w:val="21"/>
        </w:rPr>
        <w:t>untraceable in all working-tree files and git history; equals none of the A/B/C decomposition legs. The canonical frozen-OU best net annual is 20.915% (reports/phase3_ou/metrics_ou.csv); 20.886 is not carried forward.</w:t>
      </w:r>
    </w:p>
    <w:p>
      <w:pPr>
        <w:pStyle w:val="ListBullet"/>
      </w:pPr>
      <w:r>
        <w:rPr>
          <w:b/>
          <w:sz w:val="21"/>
        </w:rPr>
        <w:t xml:space="preserve">7 vs 8 folds:  </w:t>
      </w:r>
      <w:r>
        <w:rPr>
          <w:sz w:val="21"/>
        </w:rPr>
        <w:t>Phase-2A reports 8 fold indices spanning ~7 out-of-sample years (1764 daily obs ≈ 7×252). Both are correct; the report states 8 folds / ~7 OOS years.</w:t>
      </w:r>
    </w:p>
    <w:p>
      <w:pPr>
        <w:pStyle w:val="ListBullet"/>
      </w:pPr>
      <w:r>
        <w:rPr>
          <w:b/>
          <w:sz w:val="21"/>
        </w:rPr>
        <w:t xml:space="preserve">Partial v2 re-billing:  </w:t>
      </w:r>
      <w:r>
        <w:rPr>
          <w:sz w:val="21"/>
        </w:rPr>
        <w:t>the (1+β) re-billing was applied to the Phase-3 v2 cells at 3 bps; the 1/5/8 bps v2 cells remain on the legacy convention in their persisted CSVs (documented [TODO scope]). The OU/Kalman/crypto headline cells are all on the corrected billing.</w:t>
      </w:r>
    </w:p>
    <w:p>
      <w:pPr>
        <w:pStyle w:val="Heading2"/>
      </w:pPr>
      <w:r>
        <w:rPr>
          <w:color w:val="1F3255"/>
        </w:rPr>
        <w:t>B.  Figure catalogue</w:t>
      </w:r>
    </w:p>
    <w:p>
      <w:pPr>
        <w:spacing w:after="120"/>
      </w:pPr>
      <w:r>
        <w:rPr>
          <w:b w:val="0"/>
          <w:i w:val="0"/>
          <w:sz w:val="19"/>
        </w:rPr>
        <w:t>Every figure embedded in this report, with its source PNG and the driver that produces it. All PNGs ship a companion same-basename CSV (the data behind the figure); PNGs are gitignored and regenerated by their driver.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255"/>
          </w:tcPr>
          <w:p>
            <w:pPr>
              <w:jc w:val="left"/>
            </w:pPr>
            <w:r/>
            <w:r>
              <w:rPr>
                <w:b/>
                <w:color w:val="FFFFFF"/>
                <w:sz w:val="16"/>
              </w:rPr>
              <w:t>fig</w:t>
            </w:r>
          </w:p>
        </w:tc>
        <w:tc>
          <w:tcPr>
            <w:tcW w:type="dxa" w:w="3216"/>
            <w:shd w:val="clear" w:fill="1F3255"/>
          </w:tcPr>
          <w:p>
            <w:pPr>
              <w:jc w:val="center"/>
            </w:pPr>
            <w:r/>
            <w:r>
              <w:rPr>
                <w:b/>
                <w:color w:val="FFFFFF"/>
                <w:sz w:val="16"/>
              </w:rPr>
              <w:t>source PNG</w:t>
            </w:r>
          </w:p>
        </w:tc>
        <w:tc>
          <w:tcPr>
            <w:tcW w:type="dxa" w:w="3216"/>
            <w:shd w:val="clear" w:fill="1F3255"/>
          </w:tcPr>
          <w:p>
            <w:pPr>
              <w:jc w:val="center"/>
            </w:pPr>
            <w:r/>
            <w:r>
              <w:rPr>
                <w:b/>
                <w:color w:val="FFFFFF"/>
                <w:sz w:val="16"/>
              </w:rPr>
              <w:t>driver</w:t>
            </w:r>
          </w:p>
        </w:tc>
      </w:tr>
      <w:tr>
        <w:tc>
          <w:tcPr>
            <w:tcW w:type="dxa" w:w="3216"/>
          </w:tcPr>
          <w:p>
            <w:pPr>
              <w:jc w:val="left"/>
            </w:pPr>
            <w:r/>
            <w:r>
              <w:rPr>
                <w:sz w:val="16"/>
              </w:rPr>
              <w:t>1</w:t>
            </w:r>
          </w:p>
        </w:tc>
        <w:tc>
          <w:tcPr>
            <w:tcW w:type="dxa" w:w="3216"/>
          </w:tcPr>
          <w:p>
            <w:pPr>
              <w:jc w:val="center"/>
            </w:pPr>
            <w:r/>
            <w:r>
              <w:rPr>
                <w:sz w:val="16"/>
              </w:rPr>
              <w:t>plots/phase4/final/nse/portfolio_equity.png</w:t>
            </w:r>
          </w:p>
        </w:tc>
        <w:tc>
          <w:tcPr>
            <w:tcW w:type="dxa" w:w="3216"/>
          </w:tcPr>
          <w:p>
            <w:pPr>
              <w:jc w:val="center"/>
            </w:pPr>
            <w:r/>
            <w:r>
              <w:rPr>
                <w:sz w:val="16"/>
              </w:rPr>
              <w:t>final_nse_plots.py</w:t>
            </w:r>
          </w:p>
        </w:tc>
      </w:tr>
      <w:tr>
        <w:tc>
          <w:tcPr>
            <w:tcW w:type="dxa" w:w="3216"/>
            <w:shd w:val="clear" w:fill="EEF2F8"/>
          </w:tcPr>
          <w:p>
            <w:pPr>
              <w:jc w:val="left"/>
            </w:pPr>
            <w:r/>
            <w:r>
              <w:rPr>
                <w:sz w:val="16"/>
              </w:rPr>
              <w:t>2</w:t>
            </w:r>
          </w:p>
        </w:tc>
        <w:tc>
          <w:tcPr>
            <w:tcW w:type="dxa" w:w="3216"/>
            <w:shd w:val="clear" w:fill="EEF2F8"/>
          </w:tcPr>
          <w:p>
            <w:pPr>
              <w:jc w:val="center"/>
            </w:pPr>
            <w:r/>
            <w:r>
              <w:rPr>
                <w:sz w:val="16"/>
              </w:rPr>
              <w:t>plots/phase4/final/crypto/portfolio_equity.png</w:t>
            </w:r>
          </w:p>
        </w:tc>
        <w:tc>
          <w:tcPr>
            <w:tcW w:type="dxa" w:w="3216"/>
            <w:shd w:val="clear" w:fill="EEF2F8"/>
          </w:tcPr>
          <w:p>
            <w:pPr>
              <w:jc w:val="center"/>
            </w:pPr>
            <w:r/>
            <w:r>
              <w:rPr>
                <w:sz w:val="16"/>
              </w:rPr>
              <w:t>final_crypto_plots.py</w:t>
            </w:r>
          </w:p>
        </w:tc>
      </w:tr>
      <w:tr>
        <w:tc>
          <w:tcPr>
            <w:tcW w:type="dxa" w:w="3216"/>
          </w:tcPr>
          <w:p>
            <w:pPr>
              <w:jc w:val="left"/>
            </w:pPr>
            <w:r/>
            <w:r>
              <w:rPr>
                <w:sz w:val="16"/>
              </w:rPr>
              <w:t>3</w:t>
            </w:r>
          </w:p>
        </w:tc>
        <w:tc>
          <w:tcPr>
            <w:tcW w:type="dxa" w:w="3216"/>
          </w:tcPr>
          <w:p>
            <w:pPr>
              <w:jc w:val="center"/>
            </w:pPr>
            <w:r/>
            <w:r>
              <w:rPr>
                <w:sz w:val="16"/>
              </w:rPr>
              <w:t>plots/phase4/dsr_pbo/pbo_logit_distribution.png</w:t>
            </w:r>
          </w:p>
        </w:tc>
        <w:tc>
          <w:tcPr>
            <w:tcW w:type="dxa" w:w="3216"/>
          </w:tcPr>
          <w:p>
            <w:pPr>
              <w:jc w:val="center"/>
            </w:pPr>
            <w:r/>
            <w:r>
              <w:rPr>
                <w:sz w:val="16"/>
              </w:rPr>
              <w:t>s2_dsr_pbo.py</w:t>
            </w:r>
          </w:p>
        </w:tc>
      </w:tr>
      <w:tr>
        <w:tc>
          <w:tcPr>
            <w:tcW w:type="dxa" w:w="3216"/>
            <w:shd w:val="clear" w:fill="EEF2F8"/>
          </w:tcPr>
          <w:p>
            <w:pPr>
              <w:jc w:val="left"/>
            </w:pPr>
            <w:r/>
            <w:r>
              <w:rPr>
                <w:sz w:val="16"/>
              </w:rPr>
              <w:t>4</w:t>
            </w:r>
          </w:p>
        </w:tc>
        <w:tc>
          <w:tcPr>
            <w:tcW w:type="dxa" w:w="3216"/>
            <w:shd w:val="clear" w:fill="EEF2F8"/>
          </w:tcPr>
          <w:p>
            <w:pPr>
              <w:jc w:val="center"/>
            </w:pPr>
            <w:r/>
            <w:r>
              <w:rPr>
                <w:sz w:val="16"/>
              </w:rPr>
              <w:t>plots/phase1/universe/01_symbols_per_sector.png</w:t>
            </w:r>
          </w:p>
        </w:tc>
        <w:tc>
          <w:tcPr>
            <w:tcW w:type="dxa" w:w="3216"/>
            <w:shd w:val="clear" w:fill="EEF2F8"/>
          </w:tcPr>
          <w:p>
            <w:pPr>
              <w:jc w:val="center"/>
            </w:pPr>
            <w:r/>
            <w:r>
              <w:rPr>
                <w:sz w:val="16"/>
              </w:rPr>
              <w:t>scripts/06 universe EDA</w:t>
            </w:r>
          </w:p>
        </w:tc>
      </w:tr>
      <w:tr>
        <w:tc>
          <w:tcPr>
            <w:tcW w:type="dxa" w:w="3216"/>
          </w:tcPr>
          <w:p>
            <w:pPr>
              <w:jc w:val="left"/>
            </w:pPr>
            <w:r/>
            <w:r>
              <w:rPr>
                <w:sz w:val="16"/>
              </w:rPr>
              <w:t>5</w:t>
            </w:r>
          </w:p>
        </w:tc>
        <w:tc>
          <w:tcPr>
            <w:tcW w:type="dxa" w:w="3216"/>
          </w:tcPr>
          <w:p>
            <w:pPr>
              <w:jc w:val="center"/>
            </w:pPr>
            <w:r/>
            <w:r>
              <w:rPr>
                <w:sz w:val="16"/>
              </w:rPr>
              <w:t>plots/phase2/backtest/equity_curve.png</w:t>
            </w:r>
          </w:p>
        </w:tc>
        <w:tc>
          <w:tcPr>
            <w:tcW w:type="dxa" w:w="3216"/>
          </w:tcPr>
          <w:p>
            <w:pPr>
              <w:jc w:val="center"/>
            </w:pPr>
            <w:r/>
            <w:r>
              <w:rPr>
                <w:sz w:val="16"/>
              </w:rPr>
              <w:t>scripts/10 backtest</w:t>
            </w:r>
          </w:p>
        </w:tc>
      </w:tr>
      <w:tr>
        <w:tc>
          <w:tcPr>
            <w:tcW w:type="dxa" w:w="3216"/>
            <w:shd w:val="clear" w:fill="EEF2F8"/>
          </w:tcPr>
          <w:p>
            <w:pPr>
              <w:jc w:val="left"/>
            </w:pPr>
            <w:r/>
            <w:r>
              <w:rPr>
                <w:sz w:val="16"/>
              </w:rPr>
              <w:t>6</w:t>
            </w:r>
          </w:p>
        </w:tc>
        <w:tc>
          <w:tcPr>
            <w:tcW w:type="dxa" w:w="3216"/>
            <w:shd w:val="clear" w:fill="EEF2F8"/>
          </w:tcPr>
          <w:p>
            <w:pPr>
              <w:jc w:val="center"/>
            </w:pPr>
            <w:r/>
            <w:r>
              <w:rPr>
                <w:sz w:val="16"/>
              </w:rPr>
              <w:t>plots/phase2/risk_managed/ladder_equity.png</w:t>
            </w:r>
          </w:p>
        </w:tc>
        <w:tc>
          <w:tcPr>
            <w:tcW w:type="dxa" w:w="3216"/>
            <w:shd w:val="clear" w:fill="EEF2F8"/>
          </w:tcPr>
          <w:p>
            <w:pPr>
              <w:jc w:val="center"/>
            </w:pPr>
            <w:r/>
            <w:r>
              <w:rPr>
                <w:sz w:val="16"/>
              </w:rPr>
              <w:t>scripts/12 risk-managed</w:t>
            </w:r>
          </w:p>
        </w:tc>
      </w:tr>
      <w:tr>
        <w:tc>
          <w:tcPr>
            <w:tcW w:type="dxa" w:w="3216"/>
          </w:tcPr>
          <w:p>
            <w:pPr>
              <w:jc w:val="left"/>
            </w:pPr>
            <w:r/>
            <w:r>
              <w:rPr>
                <w:sz w:val="16"/>
              </w:rPr>
              <w:t>7</w:t>
            </w:r>
          </w:p>
        </w:tc>
        <w:tc>
          <w:tcPr>
            <w:tcW w:type="dxa" w:w="3216"/>
          </w:tcPr>
          <w:p>
            <w:pPr>
              <w:jc w:val="center"/>
            </w:pPr>
            <w:r/>
            <w:r>
              <w:rPr>
                <w:sz w:val="16"/>
              </w:rPr>
              <w:t>plots/phase3/equity_A_vs_B_3bps.png</w:t>
            </w:r>
          </w:p>
        </w:tc>
        <w:tc>
          <w:tcPr>
            <w:tcW w:type="dxa" w:w="3216"/>
          </w:tcPr>
          <w:p>
            <w:pPr>
              <w:jc w:val="center"/>
            </w:pPr>
            <w:r/>
            <w:r>
              <w:rPr>
                <w:sz w:val="16"/>
              </w:rPr>
              <w:t>scripts/14 two-regime</w:t>
            </w:r>
          </w:p>
        </w:tc>
      </w:tr>
      <w:tr>
        <w:tc>
          <w:tcPr>
            <w:tcW w:type="dxa" w:w="3216"/>
            <w:shd w:val="clear" w:fill="EEF2F8"/>
          </w:tcPr>
          <w:p>
            <w:pPr>
              <w:jc w:val="left"/>
            </w:pPr>
            <w:r/>
            <w:r>
              <w:rPr>
                <w:sz w:val="16"/>
              </w:rPr>
              <w:t>8</w:t>
            </w:r>
          </w:p>
        </w:tc>
        <w:tc>
          <w:tcPr>
            <w:tcW w:type="dxa" w:w="3216"/>
            <w:shd w:val="clear" w:fill="EEF2F8"/>
          </w:tcPr>
          <w:p>
            <w:pPr>
              <w:jc w:val="center"/>
            </w:pPr>
            <w:r/>
            <w:r>
              <w:rPr>
                <w:sz w:val="16"/>
              </w:rPr>
              <w:t>plots/phase3/tod_vol_profile.png</w:t>
            </w:r>
          </w:p>
        </w:tc>
        <w:tc>
          <w:tcPr>
            <w:tcW w:type="dxa" w:w="3216"/>
            <w:shd w:val="clear" w:fill="EEF2F8"/>
          </w:tcPr>
          <w:p>
            <w:pPr>
              <w:jc w:val="center"/>
            </w:pPr>
            <w:r/>
            <w:r>
              <w:rPr>
                <w:sz w:val="16"/>
              </w:rPr>
              <w:t>scripts/14 two-regime</w:t>
            </w:r>
          </w:p>
        </w:tc>
      </w:tr>
      <w:tr>
        <w:tc>
          <w:tcPr>
            <w:tcW w:type="dxa" w:w="3216"/>
          </w:tcPr>
          <w:p>
            <w:pPr>
              <w:jc w:val="left"/>
            </w:pPr>
            <w:r/>
            <w:r>
              <w:rPr>
                <w:sz w:val="16"/>
              </w:rPr>
              <w:t>9</w:t>
            </w:r>
          </w:p>
        </w:tc>
        <w:tc>
          <w:tcPr>
            <w:tcW w:type="dxa" w:w="3216"/>
          </w:tcPr>
          <w:p>
            <w:pPr>
              <w:jc w:val="center"/>
            </w:pPr>
            <w:r/>
            <w:r>
              <w:rPr>
                <w:sz w:val="16"/>
              </w:rPr>
              <w:t>reports/phase3_ou/figures/ou_best_cell/b_ou_best_portfolio_nav.png</w:t>
            </w:r>
          </w:p>
        </w:tc>
        <w:tc>
          <w:tcPr>
            <w:tcW w:type="dxa" w:w="3216"/>
          </w:tcPr>
          <w:p>
            <w:pPr>
              <w:jc w:val="center"/>
            </w:pPr>
            <w:r/>
            <w:r>
              <w:rPr>
                <w:sz w:val="16"/>
              </w:rPr>
              <w:t>scripts/15 OU</w:t>
            </w:r>
          </w:p>
        </w:tc>
      </w:tr>
      <w:tr>
        <w:tc>
          <w:tcPr>
            <w:tcW w:type="dxa" w:w="3216"/>
            <w:shd w:val="clear" w:fill="EEF2F8"/>
          </w:tcPr>
          <w:p>
            <w:pPr>
              <w:jc w:val="left"/>
            </w:pPr>
            <w:r/>
            <w:r>
              <w:rPr>
                <w:sz w:val="16"/>
              </w:rPr>
              <w:t>10</w:t>
            </w:r>
          </w:p>
        </w:tc>
        <w:tc>
          <w:tcPr>
            <w:tcW w:type="dxa" w:w="3216"/>
            <w:shd w:val="clear" w:fill="EEF2F8"/>
          </w:tcPr>
          <w:p>
            <w:pPr>
              <w:jc w:val="center"/>
            </w:pPr>
            <w:r/>
            <w:r>
              <w:rPr>
                <w:sz w:val="16"/>
              </w:rPr>
              <w:t>reports/phase3_ou/figures/grid_rollups/d_cost_ladder_f5_B.png</w:t>
            </w:r>
          </w:p>
        </w:tc>
        <w:tc>
          <w:tcPr>
            <w:tcW w:type="dxa" w:w="3216"/>
            <w:shd w:val="clear" w:fill="EEF2F8"/>
          </w:tcPr>
          <w:p>
            <w:pPr>
              <w:jc w:val="center"/>
            </w:pPr>
            <w:r/>
            <w:r>
              <w:rPr>
                <w:sz w:val="16"/>
              </w:rPr>
              <w:t>scripts/15 OU</w:t>
            </w:r>
          </w:p>
        </w:tc>
      </w:tr>
      <w:tr>
        <w:tc>
          <w:tcPr>
            <w:tcW w:type="dxa" w:w="3216"/>
          </w:tcPr>
          <w:p>
            <w:pPr>
              <w:jc w:val="left"/>
            </w:pPr>
            <w:r/>
            <w:r>
              <w:rPr>
                <w:sz w:val="16"/>
              </w:rPr>
              <w:t>11</w:t>
            </w:r>
          </w:p>
        </w:tc>
        <w:tc>
          <w:tcPr>
            <w:tcW w:type="dxa" w:w="3216"/>
          </w:tcPr>
          <w:p>
            <w:pPr>
              <w:jc w:val="center"/>
            </w:pPr>
            <w:r/>
            <w:r>
              <w:rPr>
                <w:sz w:val="16"/>
              </w:rPr>
              <w:t>reports/phase3_ou/figures/grid_rollups/f_half_life_distribution.png</w:t>
            </w:r>
          </w:p>
        </w:tc>
        <w:tc>
          <w:tcPr>
            <w:tcW w:type="dxa" w:w="3216"/>
          </w:tcPr>
          <w:p>
            <w:pPr>
              <w:jc w:val="center"/>
            </w:pPr>
            <w:r/>
            <w:r>
              <w:rPr>
                <w:sz w:val="16"/>
              </w:rPr>
              <w:t>scripts/15 OU</w:t>
            </w:r>
          </w:p>
        </w:tc>
      </w:tr>
      <w:tr>
        <w:tc>
          <w:tcPr>
            <w:tcW w:type="dxa" w:w="3216"/>
            <w:shd w:val="clear" w:fill="EEF2F8"/>
          </w:tcPr>
          <w:p>
            <w:pPr>
              <w:jc w:val="left"/>
            </w:pPr>
            <w:r/>
            <w:r>
              <w:rPr>
                <w:sz w:val="16"/>
              </w:rPr>
              <w:t>12</w:t>
            </w:r>
          </w:p>
        </w:tc>
        <w:tc>
          <w:tcPr>
            <w:tcW w:type="dxa" w:w="3216"/>
            <w:shd w:val="clear" w:fill="EEF2F8"/>
          </w:tcPr>
          <w:p>
            <w:pPr>
              <w:jc w:val="center"/>
            </w:pPr>
            <w:r/>
            <w:r>
              <w:rPr>
                <w:sz w:val="16"/>
              </w:rPr>
              <w:t>reports/phase3_ou/figures/grid_rollups/k_exclusion_funnel.png</w:t>
            </w:r>
          </w:p>
        </w:tc>
        <w:tc>
          <w:tcPr>
            <w:tcW w:type="dxa" w:w="3216"/>
            <w:shd w:val="clear" w:fill="EEF2F8"/>
          </w:tcPr>
          <w:p>
            <w:pPr>
              <w:jc w:val="center"/>
            </w:pPr>
            <w:r/>
            <w:r>
              <w:rPr>
                <w:sz w:val="16"/>
              </w:rPr>
              <w:t>scripts/15 OU</w:t>
            </w:r>
          </w:p>
        </w:tc>
      </w:tr>
      <w:tr>
        <w:tc>
          <w:tcPr>
            <w:tcW w:type="dxa" w:w="3216"/>
          </w:tcPr>
          <w:p>
            <w:pPr>
              <w:jc w:val="left"/>
            </w:pPr>
            <w:r/>
            <w:r>
              <w:rPr>
                <w:sz w:val="16"/>
              </w:rPr>
              <w:t>13</w:t>
            </w:r>
          </w:p>
        </w:tc>
        <w:tc>
          <w:tcPr>
            <w:tcW w:type="dxa" w:w="3216"/>
          </w:tcPr>
          <w:p>
            <w:pPr>
              <w:jc w:val="center"/>
            </w:pPr>
            <w:r/>
            <w:r>
              <w:rPr>
                <w:sz w:val="16"/>
              </w:rPr>
              <w:t>reports/phase3_kalman/figures/drift_before_after.png</w:t>
            </w:r>
          </w:p>
        </w:tc>
        <w:tc>
          <w:tcPr>
            <w:tcW w:type="dxa" w:w="3216"/>
          </w:tcPr>
          <w:p>
            <w:pPr>
              <w:jc w:val="center"/>
            </w:pPr>
            <w:r/>
            <w:r>
              <w:rPr>
                <w:sz w:val="16"/>
              </w:rPr>
              <w:t>scripts/17 Kalman</w:t>
            </w:r>
          </w:p>
        </w:tc>
      </w:tr>
      <w:tr>
        <w:tc>
          <w:tcPr>
            <w:tcW w:type="dxa" w:w="3216"/>
            <w:shd w:val="clear" w:fill="EEF2F8"/>
          </w:tcPr>
          <w:p>
            <w:pPr>
              <w:jc w:val="left"/>
            </w:pPr>
            <w:r/>
            <w:r>
              <w:rPr>
                <w:sz w:val="16"/>
              </w:rPr>
              <w:t>14</w:t>
            </w:r>
          </w:p>
        </w:tc>
        <w:tc>
          <w:tcPr>
            <w:tcW w:type="dxa" w:w="3216"/>
            <w:shd w:val="clear" w:fill="EEF2F8"/>
          </w:tcPr>
          <w:p>
            <w:pPr>
              <w:jc w:val="center"/>
            </w:pPr>
            <w:r/>
            <w:r>
              <w:rPr>
                <w:sz w:val="16"/>
              </w:rPr>
              <w:t>plots/phase4/verification/per_trade_pnl_dist.png</w:t>
            </w:r>
          </w:p>
        </w:tc>
        <w:tc>
          <w:tcPr>
            <w:tcW w:type="dxa" w:w="3216"/>
            <w:shd w:val="clear" w:fill="EEF2F8"/>
          </w:tcPr>
          <w:p>
            <w:pPr>
              <w:jc w:val="center"/>
            </w:pPr>
            <w:r/>
            <w:r>
              <w:rPr>
                <w:sz w:val="16"/>
              </w:rPr>
              <w:t>s1_unit_k_verification.py</w:t>
            </w:r>
          </w:p>
        </w:tc>
      </w:tr>
      <w:tr>
        <w:tc>
          <w:tcPr>
            <w:tcW w:type="dxa" w:w="3216"/>
          </w:tcPr>
          <w:p>
            <w:pPr>
              <w:jc w:val="left"/>
            </w:pPr>
            <w:r/>
            <w:r>
              <w:rPr>
                <w:sz w:val="16"/>
              </w:rPr>
              <w:t>15</w:t>
            </w:r>
          </w:p>
        </w:tc>
        <w:tc>
          <w:tcPr>
            <w:tcW w:type="dxa" w:w="3216"/>
          </w:tcPr>
          <w:p>
            <w:pPr>
              <w:jc w:val="center"/>
            </w:pPr>
            <w:r/>
            <w:r>
              <w:rPr>
                <w:sz w:val="16"/>
              </w:rPr>
              <w:t>reports/phase3_kalman/figures/mu_overlay_fold4.png</w:t>
            </w:r>
          </w:p>
        </w:tc>
        <w:tc>
          <w:tcPr>
            <w:tcW w:type="dxa" w:w="3216"/>
          </w:tcPr>
          <w:p>
            <w:pPr>
              <w:jc w:val="center"/>
            </w:pPr>
            <w:r/>
            <w:r>
              <w:rPr>
                <w:sz w:val="16"/>
              </w:rPr>
              <w:t>scripts/17 Kalman</w:t>
            </w:r>
          </w:p>
        </w:tc>
      </w:tr>
      <w:tr>
        <w:tc>
          <w:tcPr>
            <w:tcW w:type="dxa" w:w="3216"/>
            <w:shd w:val="clear" w:fill="EEF2F8"/>
          </w:tcPr>
          <w:p>
            <w:pPr>
              <w:jc w:val="left"/>
            </w:pPr>
            <w:r/>
            <w:r>
              <w:rPr>
                <w:sz w:val="16"/>
              </w:rPr>
              <w:t>16</w:t>
            </w:r>
          </w:p>
        </w:tc>
        <w:tc>
          <w:tcPr>
            <w:tcW w:type="dxa" w:w="3216"/>
            <w:shd w:val="clear" w:fill="EEF2F8"/>
          </w:tcPr>
          <w:p>
            <w:pPr>
              <w:jc w:val="center"/>
            </w:pPr>
            <w:r/>
            <w:r>
              <w:rPr>
                <w:sz w:val="16"/>
              </w:rPr>
              <w:t>plots/phase4/beta_escalation/beta_paths_f5.png</w:t>
            </w:r>
          </w:p>
        </w:tc>
        <w:tc>
          <w:tcPr>
            <w:tcW w:type="dxa" w:w="3216"/>
            <w:shd w:val="clear" w:fill="EEF2F8"/>
          </w:tcPr>
          <w:p>
            <w:pPr>
              <w:jc w:val="center"/>
            </w:pPr>
            <w:r/>
            <w:r>
              <w:rPr>
                <w:sz w:val="16"/>
              </w:rPr>
              <w:t>s3_beta_escalation.py</w:t>
            </w:r>
          </w:p>
        </w:tc>
      </w:tr>
      <w:tr>
        <w:tc>
          <w:tcPr>
            <w:tcW w:type="dxa" w:w="3216"/>
          </w:tcPr>
          <w:p>
            <w:pPr>
              <w:jc w:val="left"/>
            </w:pPr>
            <w:r/>
            <w:r>
              <w:rPr>
                <w:sz w:val="16"/>
              </w:rPr>
              <w:t>17</w:t>
            </w:r>
          </w:p>
        </w:tc>
        <w:tc>
          <w:tcPr>
            <w:tcW w:type="dxa" w:w="3216"/>
          </w:tcPr>
          <w:p>
            <w:pPr>
              <w:jc w:val="center"/>
            </w:pPr>
            <w:r/>
            <w:r>
              <w:rPr>
                <w:sz w:val="16"/>
              </w:rPr>
              <w:t>plots/phase4/coint_stability/adf_pvalue_paths.png</w:t>
            </w:r>
          </w:p>
        </w:tc>
        <w:tc>
          <w:tcPr>
            <w:tcW w:type="dxa" w:w="3216"/>
          </w:tcPr>
          <w:p>
            <w:pPr>
              <w:jc w:val="center"/>
            </w:pPr>
            <w:r/>
            <w:r>
              <w:rPr>
                <w:sz w:val="16"/>
              </w:rPr>
              <w:t>s4_coint_stability.py</w:t>
            </w:r>
          </w:p>
        </w:tc>
      </w:tr>
      <w:tr>
        <w:tc>
          <w:tcPr>
            <w:tcW w:type="dxa" w:w="3216"/>
            <w:shd w:val="clear" w:fill="EEF2F8"/>
          </w:tcPr>
          <w:p>
            <w:pPr>
              <w:jc w:val="left"/>
            </w:pPr>
            <w:r/>
            <w:r>
              <w:rPr>
                <w:sz w:val="16"/>
              </w:rPr>
              <w:t>18</w:t>
            </w:r>
          </w:p>
        </w:tc>
        <w:tc>
          <w:tcPr>
            <w:tcW w:type="dxa" w:w="3216"/>
            <w:shd w:val="clear" w:fill="EEF2F8"/>
          </w:tcPr>
          <w:p>
            <w:pPr>
              <w:jc w:val="center"/>
            </w:pPr>
            <w:r/>
            <w:r>
              <w:rPr>
                <w:sz w:val="16"/>
              </w:rPr>
              <w:t>plots/phase4/johansen/eg_vs_johansen.png</w:t>
            </w:r>
          </w:p>
        </w:tc>
        <w:tc>
          <w:tcPr>
            <w:tcW w:type="dxa" w:w="3216"/>
            <w:shd w:val="clear" w:fill="EEF2F8"/>
          </w:tcPr>
          <w:p>
            <w:pPr>
              <w:jc w:val="center"/>
            </w:pPr>
            <w:r/>
            <w:r>
              <w:rPr>
                <w:sz w:val="16"/>
              </w:rPr>
              <w:t>s5_johansen.py</w:t>
            </w:r>
          </w:p>
        </w:tc>
      </w:tr>
      <w:tr>
        <w:tc>
          <w:tcPr>
            <w:tcW w:type="dxa" w:w="3216"/>
          </w:tcPr>
          <w:p>
            <w:pPr>
              <w:jc w:val="left"/>
            </w:pPr>
            <w:r/>
            <w:r>
              <w:rPr>
                <w:sz w:val="16"/>
              </w:rPr>
              <w:t>19</w:t>
            </w:r>
          </w:p>
        </w:tc>
        <w:tc>
          <w:tcPr>
            <w:tcW w:type="dxa" w:w="3216"/>
          </w:tcPr>
          <w:p>
            <w:pPr>
              <w:jc w:val="center"/>
            </w:pPr>
            <w:r/>
            <w:r>
              <w:rPr>
                <w:sz w:val="16"/>
              </w:rPr>
              <w:t>plots/phase4/final/crypto/trade_return_distribution.png</w:t>
            </w:r>
          </w:p>
        </w:tc>
        <w:tc>
          <w:tcPr>
            <w:tcW w:type="dxa" w:w="3216"/>
          </w:tcPr>
          <w:p>
            <w:pPr>
              <w:jc w:val="center"/>
            </w:pPr>
            <w:r/>
            <w:r>
              <w:rPr>
                <w:sz w:val="16"/>
              </w:rPr>
              <w:t>final_crypto_plots.py</w:t>
            </w:r>
          </w:p>
        </w:tc>
      </w:tr>
      <w:tr>
        <w:tc>
          <w:tcPr>
            <w:tcW w:type="dxa" w:w="3216"/>
            <w:shd w:val="clear" w:fill="EEF2F8"/>
          </w:tcPr>
          <w:p>
            <w:pPr>
              <w:jc w:val="left"/>
            </w:pPr>
            <w:r/>
            <w:r>
              <w:rPr>
                <w:sz w:val="16"/>
              </w:rPr>
              <w:t>20</w:t>
            </w:r>
          </w:p>
        </w:tc>
        <w:tc>
          <w:tcPr>
            <w:tcW w:type="dxa" w:w="3216"/>
            <w:shd w:val="clear" w:fill="EEF2F8"/>
          </w:tcPr>
          <w:p>
            <w:pPr>
              <w:jc w:val="center"/>
            </w:pPr>
            <w:r/>
            <w:r>
              <w:rPr>
                <w:sz w:val="16"/>
              </w:rPr>
              <w:t>plots/phase4/crypto/crypto_cost_ladder.png</w:t>
            </w:r>
          </w:p>
        </w:tc>
        <w:tc>
          <w:tcPr>
            <w:tcW w:type="dxa" w:w="3216"/>
            <w:shd w:val="clear" w:fill="EEF2F8"/>
          </w:tcPr>
          <w:p>
            <w:pPr>
              <w:jc w:val="center"/>
            </w:pPr>
            <w:r/>
            <w:r>
              <w:rPr>
                <w:sz w:val="16"/>
              </w:rPr>
              <w:t>s6_crypto.py</w:t>
            </w:r>
          </w:p>
        </w:tc>
      </w:tr>
    </w:tbl>
    <w:p>
      <w:pPr>
        <w:spacing w:after="120"/>
      </w:pPr>
    </w:p>
    <w:p>
      <w:pPr>
        <w:pStyle w:val="Heading2"/>
      </w:pPr>
      <w:r>
        <w:rPr>
          <w:color w:val="1F3255"/>
        </w:rPr>
        <w:t>C.  Table provenance</w:t>
      </w:r>
    </w:p>
    <w:p>
      <w:pPr>
        <w:spacing w:after="60"/>
      </w:pPr>
      <w:r>
        <w:rPr>
          <w:b/>
          <w:color w:val="2E5A88"/>
          <w:sz w:val="18"/>
        </w:rPr>
        <w:t xml:space="preserve">Table C1. </w:t>
      </w:r>
      <w:r>
        <w:rPr>
          <w:i/>
          <w:color w:val="555555"/>
          <w:sz w:val="18"/>
        </w:rPr>
        <w:t>Every performance table in this report traces to a committed CSV.</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255"/>
          </w:tcPr>
          <w:p>
            <w:pPr>
              <w:jc w:val="left"/>
            </w:pPr>
            <w:r/>
            <w:r>
              <w:rPr>
                <w:b/>
                <w:color w:val="FFFFFF"/>
                <w:sz w:val="17"/>
              </w:rPr>
              <w:t>table</w:t>
            </w:r>
          </w:p>
        </w:tc>
        <w:tc>
          <w:tcPr>
            <w:tcW w:type="dxa" w:w="3216"/>
            <w:shd w:val="clear" w:fill="1F3255"/>
          </w:tcPr>
          <w:p>
            <w:pPr>
              <w:jc w:val="center"/>
            </w:pPr>
            <w:r/>
            <w:r>
              <w:rPr>
                <w:b/>
                <w:color w:val="FFFFFF"/>
                <w:sz w:val="17"/>
              </w:rPr>
              <w:t>content</w:t>
            </w:r>
          </w:p>
        </w:tc>
        <w:tc>
          <w:tcPr>
            <w:tcW w:type="dxa" w:w="3216"/>
            <w:shd w:val="clear" w:fill="1F3255"/>
          </w:tcPr>
          <w:p>
            <w:pPr>
              <w:jc w:val="center"/>
            </w:pPr>
            <w:r/>
            <w:r>
              <w:rPr>
                <w:b/>
                <w:color w:val="FFFFFF"/>
                <w:sz w:val="17"/>
              </w:rPr>
              <w:t>source CSV</w:t>
            </w:r>
          </w:p>
        </w:tc>
      </w:tr>
      <w:tr>
        <w:tc>
          <w:tcPr>
            <w:tcW w:type="dxa" w:w="3216"/>
          </w:tcPr>
          <w:p>
            <w:pPr>
              <w:jc w:val="left"/>
            </w:pPr>
            <w:r/>
            <w:r>
              <w:rPr>
                <w:sz w:val="17"/>
              </w:rPr>
              <w:t>1</w:t>
            </w:r>
          </w:p>
        </w:tc>
        <w:tc>
          <w:tcPr>
            <w:tcW w:type="dxa" w:w="3216"/>
          </w:tcPr>
          <w:p>
            <w:pPr>
              <w:jc w:val="center"/>
            </w:pPr>
            <w:r/>
            <w:r>
              <w:rPr>
                <w:sz w:val="17"/>
              </w:rPr>
              <w:t>the seven cleaning rules</w:t>
            </w:r>
          </w:p>
        </w:tc>
        <w:tc>
          <w:tcPr>
            <w:tcW w:type="dxa" w:w="3216"/>
          </w:tcPr>
          <w:p>
            <w:pPr>
              <w:jc w:val="center"/>
            </w:pPr>
            <w:r/>
            <w:r>
              <w:rPr>
                <w:sz w:val="17"/>
              </w:rPr>
              <w:t>src/apt/data, config/default.yaml</w:t>
            </w:r>
          </w:p>
        </w:tc>
      </w:tr>
      <w:tr>
        <w:tc>
          <w:tcPr>
            <w:tcW w:type="dxa" w:w="3216"/>
            <w:shd w:val="clear" w:fill="EEF2F8"/>
          </w:tcPr>
          <w:p>
            <w:pPr>
              <w:jc w:val="left"/>
            </w:pPr>
            <w:r/>
            <w:r>
              <w:rPr>
                <w:sz w:val="17"/>
              </w:rPr>
              <w:t>2</w:t>
            </w:r>
          </w:p>
        </w:tc>
        <w:tc>
          <w:tcPr>
            <w:tcW w:type="dxa" w:w="3216"/>
            <w:shd w:val="clear" w:fill="EEF2F8"/>
          </w:tcPr>
          <w:p>
            <w:pPr>
              <w:jc w:val="center"/>
            </w:pPr>
            <w:r/>
            <w:r>
              <w:rPr>
                <w:sz w:val="17"/>
              </w:rPr>
              <w:t>dividend-flavor diagnostic</w:t>
            </w:r>
          </w:p>
        </w:tc>
        <w:tc>
          <w:tcPr>
            <w:tcW w:type="dxa" w:w="3216"/>
            <w:shd w:val="clear" w:fill="EEF2F8"/>
          </w:tcPr>
          <w:p>
            <w:pPr>
              <w:jc w:val="center"/>
            </w:pPr>
            <w:r/>
            <w:r>
              <w:rPr>
                <w:sz w:val="17"/>
              </w:rPr>
              <w:t>reports/dividend_flavor_diagnosis.csv</w:t>
            </w:r>
          </w:p>
        </w:tc>
      </w:tr>
      <w:tr>
        <w:tc>
          <w:tcPr>
            <w:tcW w:type="dxa" w:w="3216"/>
          </w:tcPr>
          <w:p>
            <w:pPr>
              <w:jc w:val="left"/>
            </w:pPr>
            <w:r/>
            <w:r>
              <w:rPr>
                <w:sz w:val="17"/>
              </w:rPr>
              <w:t>3–4</w:t>
            </w:r>
          </w:p>
        </w:tc>
        <w:tc>
          <w:tcPr>
            <w:tcW w:type="dxa" w:w="3216"/>
          </w:tcPr>
          <w:p>
            <w:pPr>
              <w:jc w:val="center"/>
            </w:pPr>
            <w:r/>
            <w:r>
              <w:rPr>
                <w:sz w:val="17"/>
              </w:rPr>
              <w:t>Phase 2A portfolio + per-pair</w:t>
            </w:r>
          </w:p>
        </w:tc>
        <w:tc>
          <w:tcPr>
            <w:tcW w:type="dxa" w:w="3216"/>
          </w:tcPr>
          <w:p>
            <w:pPr>
              <w:jc w:val="center"/>
            </w:pPr>
            <w:r/>
            <w:r>
              <w:rPr>
                <w:sz w:val="17"/>
              </w:rPr>
              <w:t>reports/backtest_portfolio_metrics.csv, backtest_per_pair_metrics.csv</w:t>
            </w:r>
          </w:p>
        </w:tc>
      </w:tr>
      <w:tr>
        <w:tc>
          <w:tcPr>
            <w:tcW w:type="dxa" w:w="3216"/>
            <w:shd w:val="clear" w:fill="EEF2F8"/>
          </w:tcPr>
          <w:p>
            <w:pPr>
              <w:jc w:val="left"/>
            </w:pPr>
            <w:r/>
            <w:r>
              <w:rPr>
                <w:sz w:val="17"/>
              </w:rPr>
              <w:t>5–6</w:t>
            </w:r>
          </w:p>
        </w:tc>
        <w:tc>
          <w:tcPr>
            <w:tcW w:type="dxa" w:w="3216"/>
            <w:shd w:val="clear" w:fill="EEF2F8"/>
          </w:tcPr>
          <w:p>
            <w:pPr>
              <w:jc w:val="center"/>
            </w:pPr>
            <w:r/>
            <w:r>
              <w:rPr>
                <w:sz w:val="17"/>
              </w:rPr>
              <w:t>Phase 2B ladder + vol-match</w:t>
            </w:r>
          </w:p>
        </w:tc>
        <w:tc>
          <w:tcPr>
            <w:tcW w:type="dxa" w:w="3216"/>
            <w:shd w:val="clear" w:fill="EEF2F8"/>
          </w:tcPr>
          <w:p>
            <w:pPr>
              <w:jc w:val="center"/>
            </w:pPr>
            <w:r/>
            <w:r>
              <w:rPr>
                <w:sz w:val="17"/>
              </w:rPr>
              <w:t>reports/risk_managed_ladder.csv, risk_managed_vol_matched.csv</w:t>
            </w:r>
          </w:p>
        </w:tc>
      </w:tr>
      <w:tr>
        <w:tc>
          <w:tcPr>
            <w:tcW w:type="dxa" w:w="3216"/>
          </w:tcPr>
          <w:p>
            <w:pPr>
              <w:jc w:val="left"/>
            </w:pPr>
            <w:r/>
            <w:r>
              <w:rPr>
                <w:sz w:val="17"/>
              </w:rPr>
              <w:t>7</w:t>
            </w:r>
          </w:p>
        </w:tc>
        <w:tc>
          <w:tcPr>
            <w:tcW w:type="dxa" w:w="3216"/>
          </w:tcPr>
          <w:p>
            <w:pPr>
              <w:jc w:val="center"/>
            </w:pPr>
            <w:r/>
            <w:r>
              <w:rPr>
                <w:sz w:val="17"/>
              </w:rPr>
              <w:t>OU matched-universe cost ladder</w:t>
            </w:r>
          </w:p>
        </w:tc>
        <w:tc>
          <w:tcPr>
            <w:tcW w:type="dxa" w:w="3216"/>
          </w:tcPr>
          <w:p>
            <w:pPr>
              <w:jc w:val="center"/>
            </w:pPr>
            <w:r/>
            <w:r>
              <w:rPr>
                <w:sz w:val="17"/>
              </w:rPr>
              <w:t>reports/phase3_ou/figures/matched_universe/matched_metrics.csv</w:t>
            </w:r>
          </w:p>
        </w:tc>
      </w:tr>
      <w:tr>
        <w:tc>
          <w:tcPr>
            <w:tcW w:type="dxa" w:w="3216"/>
            <w:shd w:val="clear" w:fill="EEF2F8"/>
          </w:tcPr>
          <w:p>
            <w:pPr>
              <w:jc w:val="left"/>
            </w:pPr>
            <w:r/>
            <w:r>
              <w:rPr>
                <w:sz w:val="17"/>
              </w:rPr>
              <w:t>8</w:t>
            </w:r>
          </w:p>
        </w:tc>
        <w:tc>
          <w:tcPr>
            <w:tcW w:type="dxa" w:w="3216"/>
            <w:shd w:val="clear" w:fill="EEF2F8"/>
          </w:tcPr>
          <w:p>
            <w:pPr>
              <w:jc w:val="center"/>
            </w:pPr>
            <w:r/>
            <w:r>
              <w:rPr>
                <w:sz w:val="17"/>
              </w:rPr>
              <w:t>Kalman 8-cell verification</w:t>
            </w:r>
          </w:p>
        </w:tc>
        <w:tc>
          <w:tcPr>
            <w:tcW w:type="dxa" w:w="3216"/>
            <w:shd w:val="clear" w:fill="EEF2F8"/>
          </w:tcPr>
          <w:p>
            <w:pPr>
              <w:jc w:val="center"/>
            </w:pPr>
            <w:r/>
            <w:r>
              <w:rPr>
                <w:sz w:val="17"/>
              </w:rPr>
              <w:t>reports/phase4/verification/1b_eight_cell_table.csv</w:t>
            </w:r>
          </w:p>
        </w:tc>
      </w:tr>
      <w:tr>
        <w:tc>
          <w:tcPr>
            <w:tcW w:type="dxa" w:w="3216"/>
          </w:tcPr>
          <w:p>
            <w:pPr>
              <w:jc w:val="left"/>
            </w:pPr>
            <w:r/>
            <w:r>
              <w:rPr>
                <w:sz w:val="17"/>
              </w:rPr>
              <w:t>9</w:t>
            </w:r>
          </w:p>
        </w:tc>
        <w:tc>
          <w:tcPr>
            <w:tcW w:type="dxa" w:w="3216"/>
          </w:tcPr>
          <w:p>
            <w:pPr>
              <w:jc w:val="center"/>
            </w:pPr>
            <w:r/>
            <w:r>
              <w:rPr>
                <w:sz w:val="17"/>
              </w:rPr>
              <w:t>β-collapse diagnostic</w:t>
            </w:r>
          </w:p>
        </w:tc>
        <w:tc>
          <w:tcPr>
            <w:tcW w:type="dxa" w:w="3216"/>
          </w:tcPr>
          <w:p>
            <w:pPr>
              <w:jc w:val="center"/>
            </w:pPr>
            <w:r/>
            <w:r>
              <w:rPr>
                <w:sz w:val="17"/>
              </w:rPr>
              <w:t>reports/phase4/beta_escalation/beta_collapse.csv</w:t>
            </w:r>
          </w:p>
        </w:tc>
      </w:tr>
      <w:tr>
        <w:tc>
          <w:tcPr>
            <w:tcW w:type="dxa" w:w="3216"/>
            <w:shd w:val="clear" w:fill="EEF2F8"/>
          </w:tcPr>
          <w:p>
            <w:pPr>
              <w:jc w:val="left"/>
            </w:pPr>
            <w:r/>
            <w:r>
              <w:rPr>
                <w:sz w:val="17"/>
              </w:rPr>
              <w:t>10</w:t>
            </w:r>
          </w:p>
        </w:tc>
        <w:tc>
          <w:tcPr>
            <w:tcW w:type="dxa" w:w="3216"/>
            <w:shd w:val="clear" w:fill="EEF2F8"/>
          </w:tcPr>
          <w:p>
            <w:pPr>
              <w:jc w:val="center"/>
            </w:pPr>
            <w:r/>
            <w:r>
              <w:rPr>
                <w:sz w:val="17"/>
              </w:rPr>
              <w:t>coint-stability sensitivity</w:t>
            </w:r>
          </w:p>
        </w:tc>
        <w:tc>
          <w:tcPr>
            <w:tcW w:type="dxa" w:w="3216"/>
            <w:shd w:val="clear" w:fill="EEF2F8"/>
          </w:tcPr>
          <w:p>
            <w:pPr>
              <w:jc w:val="center"/>
            </w:pPr>
            <w:r/>
            <w:r>
              <w:rPr>
                <w:sz w:val="17"/>
              </w:rPr>
              <w:t>reports/phase4/coint_stability/threshold_sensitivity.csv</w:t>
            </w:r>
          </w:p>
        </w:tc>
      </w:tr>
      <w:tr>
        <w:tc>
          <w:tcPr>
            <w:tcW w:type="dxa" w:w="3216"/>
          </w:tcPr>
          <w:p>
            <w:pPr>
              <w:jc w:val="left"/>
            </w:pPr>
            <w:r/>
            <w:r>
              <w:rPr>
                <w:sz w:val="17"/>
              </w:rPr>
              <w:t>11–12</w:t>
            </w:r>
          </w:p>
        </w:tc>
        <w:tc>
          <w:tcPr>
            <w:tcW w:type="dxa" w:w="3216"/>
          </w:tcPr>
          <w:p>
            <w:pPr>
              <w:jc w:val="center"/>
            </w:pPr>
            <w:r/>
            <w:r>
              <w:rPr>
                <w:sz w:val="17"/>
              </w:rPr>
              <w:t>NSE DSR + sensitivity</w:t>
            </w:r>
          </w:p>
        </w:tc>
        <w:tc>
          <w:tcPr>
            <w:tcW w:type="dxa" w:w="3216"/>
          </w:tcPr>
          <w:p>
            <w:pPr>
              <w:jc w:val="center"/>
            </w:pPr>
            <w:r/>
            <w:r>
              <w:rPr>
                <w:sz w:val="17"/>
              </w:rPr>
              <w:t>reports/phase4/dsr_pbo/2b_dsr.csv, 2b_dsr_sensitivity_to_N.csv</w:t>
            </w:r>
          </w:p>
        </w:tc>
      </w:tr>
      <w:tr>
        <w:tc>
          <w:tcPr>
            <w:tcW w:type="dxa" w:w="3216"/>
            <w:shd w:val="clear" w:fill="EEF2F8"/>
          </w:tcPr>
          <w:p>
            <w:pPr>
              <w:jc w:val="left"/>
            </w:pPr>
            <w:r/>
            <w:r>
              <w:rPr>
                <w:sz w:val="17"/>
              </w:rPr>
              <w:t>13</w:t>
            </w:r>
          </w:p>
        </w:tc>
        <w:tc>
          <w:tcPr>
            <w:tcW w:type="dxa" w:w="3216"/>
            <w:shd w:val="clear" w:fill="EEF2F8"/>
          </w:tcPr>
          <w:p>
            <w:pPr>
              <w:jc w:val="center"/>
            </w:pPr>
            <w:r/>
            <w:r>
              <w:rPr>
                <w:sz w:val="17"/>
              </w:rPr>
              <w:t>crypto A10 headline</w:t>
            </w:r>
          </w:p>
        </w:tc>
        <w:tc>
          <w:tcPr>
            <w:tcW w:type="dxa" w:w="3216"/>
            <w:shd w:val="clear" w:fill="EEF2F8"/>
          </w:tcPr>
          <w:p>
            <w:pPr>
              <w:jc w:val="center"/>
            </w:pPr>
            <w:r/>
            <w:r>
              <w:rPr>
                <w:sz w:val="17"/>
              </w:rPr>
              <w:t>reports/phase4/crypto_adaptive/metrics.csv</w:t>
            </w:r>
          </w:p>
        </w:tc>
      </w:tr>
      <w:tr>
        <w:tc>
          <w:tcPr>
            <w:tcW w:type="dxa" w:w="3216"/>
          </w:tcPr>
          <w:p>
            <w:pPr>
              <w:jc w:val="left"/>
            </w:pPr>
            <w:r/>
            <w:r>
              <w:rPr>
                <w:sz w:val="17"/>
              </w:rPr>
              <w:t>14</w:t>
            </w:r>
          </w:p>
        </w:tc>
        <w:tc>
          <w:tcPr>
            <w:tcW w:type="dxa" w:w="3216"/>
          </w:tcPr>
          <w:p>
            <w:pPr>
              <w:jc w:val="center"/>
            </w:pPr>
            <w:r/>
            <w:r>
              <w:rPr>
                <w:sz w:val="17"/>
              </w:rPr>
              <w:t>crypto Kalman DSR/PBO</w:t>
            </w:r>
          </w:p>
        </w:tc>
        <w:tc>
          <w:tcPr>
            <w:tcW w:type="dxa" w:w="3216"/>
          </w:tcPr>
          <w:p>
            <w:pPr>
              <w:jc w:val="center"/>
            </w:pPr>
            <w:r/>
            <w:r>
              <w:rPr>
                <w:sz w:val="17"/>
              </w:rPr>
              <w:t>reports/phase4/crypto_adaptive/dsr_pbo_kalman.csv</w:t>
            </w:r>
          </w:p>
        </w:tc>
      </w:tr>
    </w:tbl>
    <w:p>
      <w:pPr>
        <w:spacing w:after="120"/>
      </w:pPr>
    </w:p>
    <w:p>
      <w:pPr>
        <w:pStyle w:val="Heading2"/>
      </w:pPr>
      <w:r>
        <w:rPr>
          <w:color w:val="1F3255"/>
        </w:rPr>
        <w:t>D.  Reproducibility — stack, branches, configuration</w:t>
      </w:r>
    </w:p>
    <w:p>
      <w:pPr>
        <w:spacing w:after="120"/>
      </w:pPr>
      <w:r>
        <w:rPr>
          <w:b w:val="0"/>
          <w:i w:val="0"/>
          <w:sz w:val="19"/>
        </w:rPr>
        <w:t>Python 3.11 (uv-managed). Core stack: polars, pandas, numpy, scipy, statsmodels, matplotlib, python-docx; pytest for the test suite. Linting via ruff. The full pipeline is the numbered scripts 01–10 plus the phase-3/4 drivers; every script is idempotent.</w:t>
      </w:r>
    </w:p>
    <w:p>
      <w:pPr>
        <w:spacing w:after="120"/>
      </w:pPr>
      <w:r>
        <w:rPr>
          <w:b/>
          <w:i w:val="0"/>
          <w:sz w:val="19"/>
        </w:rPr>
        <w:t>Branches (development lineage):</w:t>
      </w:r>
    </w:p>
    <w:p>
      <w:pPr>
        <w:spacing w:after="120"/>
      </w:pPr>
      <w:r>
        <w:rPr>
          <w:b w:val="0"/>
          <w:i w:val="0"/>
          <w:color w:val="555555"/>
          <w:sz w:val="17"/>
        </w:rPr>
        <w:t>experiment/risk-managed-2b  feature/cost-beta-notional  feature/crypto-adaptive  feature/final-report  feature/kalman-equilibrium  feature/ou-optimal-thresholds  feature/phase4-omnibus  feature/reporting-standard  main  phase/3-intraday  origin/experiment/risk-managed-2b  origin/feature/cost-beta-notional  origin/feature/crypto-adaptive  origin/feature/final-report  origin/feature/kalman-equilibrium  origin/feature/ou-optimal-thresholds  origin/feature/phase4-omnibus  origin/feature/reporting-standard  origin/main  origin/phase/3-intraday  origin/phase1/minute-ingestions</w:t>
      </w:r>
    </w:p>
    <w:p>
      <w:pPr>
        <w:spacing w:after="120"/>
      </w:pPr>
      <w:r>
        <w:rPr>
          <w:b/>
          <w:i w:val="0"/>
          <w:sz w:val="19"/>
        </w:rPr>
        <w:t>Commit provenance (most recent 40 across all branches):</w:t>
      </w:r>
    </w:p>
    <w:p>
      <w:pPr>
        <w:spacing w:after="0"/>
      </w:pPr>
      <w:r>
        <w:rPr>
          <w:rFonts w:ascii="Consolas" w:hAnsi="Consolas"/>
          <w:color w:val="555555"/>
          <w:sz w:val="15"/>
        </w:rPr>
        <w:t>1288420 docs(final): assemble APT_final_report.docx — capstone methodology + OOS validation</w:t>
      </w:r>
    </w:p>
    <w:p>
      <w:pPr>
        <w:spacing w:after="0"/>
      </w:pPr>
      <w:r>
        <w:rPr>
          <w:rFonts w:ascii="Consolas" w:hAnsi="Consolas"/>
          <w:color w:val="555555"/>
          <w:sz w:val="15"/>
        </w:rPr>
        <w:t>b314869 feat(phase4-final): Part 3 — crypto consolidated plots + report (A10 verdict)</w:t>
      </w:r>
    </w:p>
    <w:p>
      <w:pPr>
        <w:spacing w:after="0"/>
      </w:pPr>
      <w:r>
        <w:rPr>
          <w:rFonts w:ascii="Consolas" w:hAnsi="Consolas"/>
          <w:color w:val="555555"/>
          <w:sz w:val="15"/>
        </w:rPr>
        <w:t>436182a feat(phase4-final): Part 2 (A10) — adaptive engines on crypto + DSR/PBO</w:t>
      </w:r>
    </w:p>
    <w:p>
      <w:pPr>
        <w:spacing w:after="0"/>
      </w:pPr>
      <w:r>
        <w:rPr>
          <w:rFonts w:ascii="Consolas" w:hAnsi="Consolas"/>
          <w:color w:val="555555"/>
          <w:sz w:val="15"/>
        </w:rPr>
        <w:t>5940c18 feat(phase4-final): Part 1 — NSE consolidated plots (gross/net/drawdown)</w:t>
      </w:r>
    </w:p>
    <w:p>
      <w:pPr>
        <w:spacing w:after="0"/>
      </w:pPr>
      <w:r>
        <w:rPr>
          <w:rFonts w:ascii="Consolas" w:hAnsi="Consolas"/>
          <w:color w:val="555555"/>
          <w:sz w:val="15"/>
        </w:rPr>
        <w:t>85cc4a2 docs(phase4): Section 7 — finalize report (figure inventory, punch list, verdicts)</w:t>
      </w:r>
    </w:p>
    <w:p>
      <w:pPr>
        <w:spacing w:after="0"/>
      </w:pPr>
      <w:r>
        <w:rPr>
          <w:rFonts w:ascii="Consolas" w:hAnsi="Consolas"/>
          <w:color w:val="555555"/>
          <w:sz w:val="15"/>
        </w:rPr>
        <w:t>33635f8 feat(phase4): Section 6 crypto port — scaffold + first results</w:t>
      </w:r>
    </w:p>
    <w:p>
      <w:pPr>
        <w:spacing w:after="0"/>
      </w:pPr>
      <w:r>
        <w:rPr>
          <w:rFonts w:ascii="Consolas" w:hAnsi="Consolas"/>
          <w:color w:val="555555"/>
          <w:sz w:val="15"/>
        </w:rPr>
        <w:t>7eb210f feat(phase4): Section 5 Johansen pair selection (NSE) + confound</w:t>
      </w:r>
    </w:p>
    <w:p>
      <w:pPr>
        <w:spacing w:after="0"/>
      </w:pPr>
      <w:r>
        <w:rPr>
          <w:rFonts w:ascii="Consolas" w:hAnsi="Consolas"/>
          <w:color w:val="555555"/>
          <w:sz w:val="15"/>
        </w:rPr>
        <w:t>bbe3da6 feat(phase4): Section 4 rolling cointegration-stability gate (NSE)</w:t>
      </w:r>
    </w:p>
    <w:p>
      <w:pPr>
        <w:spacing w:after="0"/>
      </w:pPr>
      <w:r>
        <w:rPr>
          <w:rFonts w:ascii="Consolas" w:hAnsi="Consolas"/>
          <w:color w:val="555555"/>
          <w:sz w:val="15"/>
        </w:rPr>
        <w:t>30c42d7 feat(phase4): Section 3 beta-escalation — joint beta+mu filter, beta-collapse finding</w:t>
      </w:r>
    </w:p>
    <w:p>
      <w:pPr>
        <w:spacing w:after="0"/>
      </w:pPr>
      <w:r>
        <w:rPr>
          <w:rFonts w:ascii="Consolas" w:hAnsi="Consolas"/>
          <w:color w:val="555555"/>
          <w:sz w:val="15"/>
        </w:rPr>
        <w:t>64fb9a0 feat(phase4): Section 2 DSR/PBO gate — apt.stats.dsr + apt.stats.pbo + tests</w:t>
      </w:r>
    </w:p>
    <w:p>
      <w:pPr>
        <w:spacing w:after="0"/>
      </w:pPr>
      <w:r>
        <w:rPr>
          <w:rFonts w:ascii="Consolas" w:hAnsi="Consolas"/>
          <w:color w:val="555555"/>
          <w:sz w:val="15"/>
        </w:rPr>
        <w:t>239ec65 feat(phase4): Section 1 Unit-K verification — reconciliation, 8-cell table, P&amp;L decomposition</w:t>
      </w:r>
    </w:p>
    <w:p>
      <w:pPr>
        <w:spacing w:after="0"/>
      </w:pPr>
      <w:r>
        <w:rPr>
          <w:rFonts w:ascii="Consolas" w:hAnsi="Consolas"/>
          <w:color w:val="555555"/>
          <w:sz w:val="15"/>
        </w:rPr>
        <w:t>19c9f47 docs(kalman): Unit K run report + figures script</w:t>
      </w:r>
    </w:p>
    <w:p>
      <w:pPr>
        <w:spacing w:after="0"/>
      </w:pPr>
      <w:r>
        <w:rPr>
          <w:rFonts w:ascii="Consolas" w:hAnsi="Consolas"/>
          <w:color w:val="555555"/>
          <w:sz w:val="15"/>
        </w:rPr>
        <w:t>ac4fd8f feat(kalman): per-session local-level μ filter + orchestrator + tests</w:t>
      </w:r>
    </w:p>
    <w:p>
      <w:pPr>
        <w:spacing w:after="0"/>
      </w:pPr>
      <w:r>
        <w:rPr>
          <w:rFonts w:ascii="Consolas" w:hAnsi="Consolas"/>
          <w:color w:val="555555"/>
          <w:sz w:val="15"/>
        </w:rPr>
        <w:t>d9d0a6a docs(kalman): errata 0a/0b + Q1-Q8 decision log</w:t>
      </w:r>
    </w:p>
    <w:p>
      <w:pPr>
        <w:spacing w:after="0"/>
      </w:pPr>
      <w:r>
        <w:rPr>
          <w:rFonts w:ascii="Consolas" w:hAnsi="Consolas"/>
          <w:color w:val="555555"/>
          <w:sz w:val="15"/>
        </w:rPr>
        <w:t>63c8562 docs(kalman): discovery + design note for adaptive equilibrium (Unit K)</w:t>
      </w:r>
    </w:p>
    <w:p>
      <w:pPr>
        <w:spacing w:after="0"/>
      </w:pPr>
      <w:r>
        <w:rPr>
          <w:rFonts w:ascii="Consolas" w:hAnsi="Consolas"/>
          <w:color w:val="555555"/>
          <w:sz w:val="15"/>
        </w:rPr>
        <w:t>65b15f6 Merge feature/cost-beta-notional — β-aware (1+β) cost billing is now the single convention</w:t>
      </w:r>
    </w:p>
    <w:p>
      <w:pPr>
        <w:spacing w:after="0"/>
      </w:pPr>
      <w:r>
        <w:rPr>
          <w:rFonts w:ascii="Consolas" w:hAnsi="Consolas"/>
          <w:color w:val="555555"/>
          <w:sz w:val="15"/>
        </w:rPr>
        <w:t>2597444 docs(cost-beta): Part A close-out — billing-vs-refit decomposition + §5.2 correction</w:t>
      </w:r>
    </w:p>
    <w:p>
      <w:pPr>
        <w:spacing w:after="0"/>
      </w:pPr>
      <w:r>
        <w:rPr>
          <w:rFonts w:ascii="Consolas" w:hAnsi="Consolas"/>
          <w:color w:val="555555"/>
          <w:sz w:val="15"/>
        </w:rPr>
        <w:t>41eddac docs+phase2a(cost-beta): Unit C report + Phase 2A trade schema + re-runs</w:t>
      </w:r>
    </w:p>
    <w:p>
      <w:pPr>
        <w:spacing w:after="0"/>
      </w:pPr>
      <w:r>
        <w:rPr>
          <w:rFonts w:ascii="Consolas" w:hAnsi="Consolas"/>
          <w:color w:val="555555"/>
          <w:sz w:val="15"/>
        </w:rPr>
        <w:t>48a8b8b feat(cost): (1+β) per-leg billing — single central function + propagate</w:t>
      </w:r>
    </w:p>
    <w:p>
      <w:pPr>
        <w:spacing w:after="0"/>
      </w:pPr>
      <w:r>
        <w:rPr>
          <w:rFonts w:ascii="Consolas" w:hAnsi="Consolas"/>
          <w:color w:val="555555"/>
          <w:sz w:val="15"/>
        </w:rPr>
        <w:t>93441c8 Merge main (post reporting-standard merge) into feature/cost-beta-notional</w:t>
      </w:r>
    </w:p>
    <w:p>
      <w:pPr>
        <w:spacing w:after="0"/>
      </w:pPr>
      <w:r>
        <w:rPr>
          <w:rFonts w:ascii="Consolas" w:hAnsi="Consolas"/>
          <w:color w:val="555555"/>
          <w:sz w:val="15"/>
        </w:rPr>
        <w:t>19eaa6b Merge feature/reporting-standard — reporting standard + Unit V figures</w:t>
      </w:r>
    </w:p>
    <w:p>
      <w:pPr>
        <w:spacing w:after="0"/>
      </w:pPr>
      <w:r>
        <w:rPr>
          <w:rFonts w:ascii="Consolas" w:hAnsi="Consolas"/>
          <w:color w:val="555555"/>
          <w:sz w:val="15"/>
        </w:rPr>
        <w:t>ba4fb3b docs(phase3+reporting): verification round — matched-universe ladder, drift caption fix, MLflow status</w:t>
      </w:r>
    </w:p>
    <w:p>
      <w:pPr>
        <w:spacing w:after="0"/>
      </w:pPr>
      <w:r>
        <w:rPr>
          <w:rFonts w:ascii="Consolas" w:hAnsi="Consolas"/>
          <w:color w:val="555555"/>
          <w:sz w:val="15"/>
        </w:rPr>
        <w:t>acff45b docs(phase3): retroactive figures appendix + driver script (Unit V)</w:t>
      </w:r>
    </w:p>
    <w:p>
      <w:pPr>
        <w:spacing w:after="0"/>
      </w:pPr>
      <w:r>
        <w:rPr>
          <w:rFonts w:ascii="Consolas" w:hAnsi="Consolas"/>
          <w:color w:val="555555"/>
          <w:sz w:val="15"/>
        </w:rPr>
        <w:t>01752f0 chore: ruff-format compliance on two test files</w:t>
      </w:r>
    </w:p>
    <w:p>
      <w:pPr>
        <w:spacing w:after="0"/>
      </w:pPr>
      <w:r>
        <w:rPr>
          <w:rFonts w:ascii="Consolas" w:hAnsi="Consolas"/>
          <w:color w:val="555555"/>
          <w:sz w:val="15"/>
        </w:rPr>
        <w:t>ad03cda feat(reporting): standard figures + report skeleton module</w:t>
      </w:r>
    </w:p>
    <w:p>
      <w:pPr>
        <w:spacing w:after="0"/>
      </w:pPr>
      <w:r>
        <w:rPr>
          <w:rFonts w:ascii="Consolas" w:hAnsi="Consolas"/>
          <w:color w:val="555555"/>
          <w:sz w:val="15"/>
        </w:rPr>
        <w:t>ff30abe docs(cost-beta): discovery + design note for β-proportional notional convention</w:t>
      </w:r>
    </w:p>
    <w:p>
      <w:pPr>
        <w:spacing w:after="0"/>
      </w:pPr>
      <w:r>
        <w:rPr>
          <w:rFonts w:ascii="Consolas" w:hAnsi="Consolas"/>
          <w:color w:val="555555"/>
          <w:sz w:val="15"/>
        </w:rPr>
        <w:t>134f57d Merge feature/ou-optimal-thresholds — Phase 3 OU/Bertram + addendum closure</w:t>
      </w:r>
    </w:p>
    <w:p>
      <w:pPr>
        <w:spacing w:after="0"/>
      </w:pPr>
      <w:r>
        <w:rPr>
          <w:rFonts w:ascii="Consolas" w:hAnsi="Consolas"/>
          <w:color w:val="555555"/>
          <w:sz w:val="15"/>
        </w:rPr>
        <w:t>b89e7a5 docs(phase3): reviewer punch-list — Sharpe reconciliation, universe counts, attribution slice, freq=1 caveat</w:t>
      </w:r>
    </w:p>
    <w:p>
      <w:pPr>
        <w:spacing w:after="0"/>
      </w:pPr>
      <w:r>
        <w:rPr>
          <w:rFonts w:ascii="Consolas" w:hAnsi="Consolas"/>
          <w:color w:val="555555"/>
          <w:sz w:val="15"/>
        </w:rPr>
        <w:t>0043d14 docs(phase3): rolling_z addendum-#5 cells + reviewer punch-list</w:t>
      </w:r>
    </w:p>
    <w:p>
      <w:pPr>
        <w:spacing w:after="0"/>
      </w:pPr>
      <w:r>
        <w:rPr>
          <w:rFonts w:ascii="Consolas" w:hAnsi="Consolas"/>
          <w:color w:val="555555"/>
          <w:sz w:val="15"/>
        </w:rPr>
        <w:t>edbda2e docs(phase3): OU/Bertram run report — full grid + diagnostics</w:t>
      </w:r>
    </w:p>
    <w:p>
      <w:pPr>
        <w:spacing w:after="0"/>
      </w:pPr>
      <w:r>
        <w:rPr>
          <w:rFonts w:ascii="Consolas" w:hAnsi="Consolas"/>
          <w:color w:val="555555"/>
          <w:sz w:val="15"/>
        </w:rPr>
        <w:t>253d2ff feat(phase3): OU orchestrator script + vectorized resample</w:t>
      </w:r>
    </w:p>
    <w:p>
      <w:pPr>
        <w:spacing w:after="0"/>
      </w:pPr>
      <w:r>
        <w:rPr>
          <w:rFonts w:ascii="Consolas" w:hAnsi="Consolas"/>
          <w:color w:val="555555"/>
          <w:sz w:val="15"/>
        </w:rPr>
        <w:t>e07907e feat(intraday): OU signal engine + bar resampler + config plumbing</w:t>
      </w:r>
    </w:p>
    <w:p>
      <w:pPr>
        <w:spacing w:after="0"/>
      </w:pPr>
      <w:r>
        <w:rPr>
          <w:rFonts w:ascii="Consolas" w:hAnsi="Consolas"/>
          <w:color w:val="555555"/>
          <w:sz w:val="15"/>
        </w:rPr>
        <w:t>3693b86 feat(stats): OU fitter + Bertram (2010) threshold solver</w:t>
      </w:r>
    </w:p>
    <w:p>
      <w:pPr>
        <w:spacing w:after="0"/>
      </w:pPr>
      <w:r>
        <w:rPr>
          <w:rFonts w:ascii="Consolas" w:hAnsi="Consolas"/>
          <w:color w:val="555555"/>
          <w:sz w:val="15"/>
        </w:rPr>
        <w:t>bb1df16 docs(ou): lock decisions, add §8 implementation contract</w:t>
      </w:r>
    </w:p>
    <w:p>
      <w:pPr>
        <w:spacing w:after="0"/>
      </w:pPr>
      <w:r>
        <w:rPr>
          <w:rFonts w:ascii="Consolas" w:hAnsi="Consolas"/>
          <w:color w:val="555555"/>
          <w:sz w:val="15"/>
        </w:rPr>
        <w:t>f3e0c0e phase 3 plots: per-pair + overall (Phase-2 style), archive stale v1 plots</w:t>
      </w:r>
    </w:p>
    <w:p>
      <w:pPr>
        <w:spacing w:after="0"/>
      </w:pPr>
      <w:r>
        <w:rPr>
          <w:rFonts w:ascii="Consolas" w:hAnsi="Consolas"/>
          <w:color w:val="555555"/>
          <w:sz w:val="15"/>
        </w:rPr>
        <w:t>8745436 phase 3 re-run: fill-rate liquidity gate + full per-pair reporting</w:t>
      </w:r>
    </w:p>
    <w:p>
      <w:pPr>
        <w:spacing w:after="0"/>
      </w:pPr>
      <w:r>
        <w:rPr>
          <w:rFonts w:ascii="Consolas" w:hAnsi="Consolas"/>
          <w:color w:val="555555"/>
          <w:sz w:val="15"/>
        </w:rPr>
        <w:t>a00f5ab phase 3: intraday two-regime validation</w:t>
      </w:r>
    </w:p>
    <w:p>
      <w:pPr>
        <w:spacing w:after="0"/>
      </w:pPr>
      <w:r>
        <w:rPr>
          <w:rFonts w:ascii="Consolas" w:hAnsi="Consolas"/>
          <w:color w:val="555555"/>
          <w:sz w:val="15"/>
        </w:rPr>
        <w:t>1604a98 docs: methodology report checkpoint 1</w:t>
      </w:r>
    </w:p>
    <w:p>
      <w:pPr>
        <w:spacing w:after="0"/>
      </w:pPr>
      <w:r>
        <w:rPr>
          <w:rFonts w:ascii="Consolas" w:hAnsi="Consolas"/>
          <w:color w:val="555555"/>
          <w:sz w:val="15"/>
        </w:rPr>
        <w:t>4c36516 revert phase 2b risk-managed experiment (finding preserved on branch)</w:t>
      </w:r>
    </w:p>
    <w:p>
      <w:pPr>
        <w:spacing w:after="0"/>
      </w:pPr>
      <w:r>
        <w:rPr>
          <w:rFonts w:ascii="Consolas" w:hAnsi="Consolas"/>
          <w:color w:val="555555"/>
          <w:sz w:val="15"/>
        </w:rPr>
        <w:t>6b91f8b phase 2b vol-matched final curve</w:t>
      </w:r>
    </w:p>
    <w:p>
      <w:pPr>
        <w:pStyle w:val="Heading2"/>
      </w:pPr>
      <w:r>
        <w:rPr>
          <w:color w:val="1F3255"/>
        </w:rPr>
        <w:t>E.  Key references</w:t>
      </w:r>
    </w:p>
    <w:p>
      <w:pPr>
        <w:pStyle w:val="ListBullet"/>
      </w:pPr>
      <w:r>
        <w:rPr>
          <w:sz w:val="21"/>
        </w:rPr>
        <w:t>Engle, R. F., &amp; Granger, C. W. J. (1987). Co-integration and error correction. Econometrica.</w:t>
      </w:r>
    </w:p>
    <w:p>
      <w:pPr>
        <w:pStyle w:val="ListBullet"/>
      </w:pPr>
      <w:r>
        <w:rPr>
          <w:sz w:val="21"/>
        </w:rPr>
        <w:t>Johansen, S. (1991). Estimation and hypothesis testing of cointegration vectors. Econometrica.</w:t>
      </w:r>
    </w:p>
    <w:p>
      <w:pPr>
        <w:pStyle w:val="ListBullet"/>
      </w:pPr>
      <w:r>
        <w:rPr>
          <w:sz w:val="21"/>
        </w:rPr>
        <w:t>Benjamini, Y., &amp; Hochberg, Y. (1995). Controlling the false discovery rate. JRSS-B.</w:t>
      </w:r>
    </w:p>
    <w:p>
      <w:pPr>
        <w:pStyle w:val="ListBullet"/>
      </w:pPr>
      <w:r>
        <w:rPr>
          <w:sz w:val="21"/>
        </w:rPr>
        <w:t>Bertram, W. K. (2010). Analytic solutions for optimal statistical arbitrage trading. Physica A, 389(11), 2234–2243.</w:t>
      </w:r>
    </w:p>
    <w:p>
      <w:pPr>
        <w:pStyle w:val="ListBullet"/>
      </w:pPr>
      <w:r>
        <w:rPr>
          <w:sz w:val="21"/>
        </w:rPr>
        <w:t>Bailey, D. H., &amp; López de Prado, M. (2014). The Deflated Sharpe Ratio. Journal of Portfolio Management.</w:t>
      </w:r>
    </w:p>
    <w:p>
      <w:pPr>
        <w:pStyle w:val="ListBullet"/>
      </w:pPr>
      <w:r>
        <w:rPr>
          <w:sz w:val="21"/>
        </w:rPr>
        <w:t>Bailey, D. H., Borwein, J., López de Prado, M., &amp; Zhu, Q. J. (2017). The probability of backtest overfitting. Journal of Computational Finance.</w:t>
      </w:r>
    </w:p>
    <w:p>
      <w:pPr>
        <w:pStyle w:val="ListBullet"/>
      </w:pPr>
      <w:r>
        <w:rPr>
          <w:sz w:val="21"/>
        </w:rPr>
        <w:t>West, M., &amp; Harrison, J. (1997). Bayesian Forecasting and Dynamic Models (discount factors).</w:t>
      </w:r>
    </w:p>
    <w:sectPr w:rsidR="00FC693F" w:rsidRPr="0006063C" w:rsidSect="00034616">
      <w:footerReference w:type="default" r:id="rId2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Adaptive Pairs Trading (APT) — Methodology &amp; Out-of-Sample Validation  ·  June 2026  ·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