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pacing w:val="200"/>
          <w:sz w:val="22"/>
          <w:szCs w:val="22"/>
        </w:rPr>
        <w:t xml:space="preserve">PRODUCTION SYSTEM DESIGN</w:t>
      </w:r>
    </w:p>
    <w:p>
      <w:pPr>
        <w:pBdr>
          <w:bottom w:val="single" w:color="2E75B6" w:sz="6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Implied Volatility Surface Engine</w:t>
      </w: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From Research to Production-Grade Quantitative System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Options Pricing &amp; Volatility Modeling Project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Phase II — System Architecture &amp; Implementation Plan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Baseline Model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>XGBoost (IV MAE: 0.0556)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defines the architecture and implementation plan for transforming the current options pricing research pipeline into a </w:t>
      </w:r>
      <w:r>
        <w:rPr>
          <w:b/>
          <w:bCs/>
        </w:rPr>
        <w:t xml:space="preserve">production-grade Implied Volatility Surface Engine</w:t>
      </w:r>
      <w:r>
        <w:t xml:space="preserve">. The research phase established XGBoost as the best-performing model (IV MAE: 0.0556) and confirmed that tree-based methods outperform neural networks on this dataset. The remaining error is driven by missing features and limited data, not model capacity.</w:t>
      </w:r>
    </w:p>
    <w:p>
      <w:pPr>
        <w:spacing w:after="120"/>
      </w:pPr>
      <w:r>
        <w:t xml:space="preserve">The production system will serve as a </w:t>
      </w:r>
      <w:r>
        <w:rPr>
          <w:b/>
          <w:bCs/>
        </w:rPr>
        <w:t xml:space="preserve">real-time IV surface generator with mispricing detection</w:t>
      </w:r>
      <w:r>
        <w:t xml:space="preserve">. It will ingest multi-day, multi-asset options data; compute market-microstructure and realized volatility features; generate continuous IV surfaces per asset; and flag options where the model-predicted IV deviates significantly from the market-quoted IV — potential mispricings or trading signals.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</w:pPr>
      <w:r>
        <w:t xml:space="preserve">2. Use Case Definition</w:t>
      </w:r>
    </w:p>
    <w:p>
      <w:pPr>
        <w:spacing w:after="120"/>
      </w:pPr>
      <w:r>
        <w:rPr>
          <w:b/>
          <w:bCs/>
        </w:rPr>
        <w:t xml:space="preserve">Primary system: </w:t>
      </w:r>
      <w:r>
        <w:t xml:space="preserve">Implied Volatility Surface Generator with Mispricing Detection</w:t>
      </w:r>
    </w:p>
    <w:p>
      <w:pPr>
        <w:spacing w:after="120"/>
      </w:pPr>
      <w:r>
        <w:t xml:space="preserve">The system takes raw options chain data for a configurable universe of tickers and produces two outputs:</w:t>
      </w:r>
    </w:p>
    <w:p>
      <w:pPr>
        <w:spacing w:after="80"/>
      </w:pPr>
    </w:p>
    <w:p>
      <w:pPr>
        <w:pStyle w:val="Heading2"/>
      </w:pPr>
      <w:r>
        <w:t xml:space="preserve">2.1 Output A — IV Surface</w:t>
      </w:r>
    </w:p>
    <w:p>
      <w:pPr>
        <w:spacing w:after="120"/>
      </w:pPr>
      <w:r>
        <w:t xml:space="preserve">For each ticker and snapshot time, the system outputs a smooth, interpolated implied volatility surface over the moneyness-maturity grid. This surface is suitable for pricing exotic derivatives, computing portfolio Greeks, or feeding into a risk management system.</w:t>
      </w:r>
    </w:p>
    <w:p>
      <w:pPr>
        <w:pStyle w:val="Heading2"/>
      </w:pPr>
      <w:r>
        <w:t xml:space="preserve">2.2 Output B — Mispricing Signals</w:t>
      </w:r>
    </w:p>
    <w:p>
      <w:pPr>
        <w:spacing w:after="120"/>
      </w:pPr>
      <w:r>
        <w:t xml:space="preserve">For each option in the chain, the system compares the market-quoted IV to the model-predicted IV. Options where the residual exceeds a configurable threshold (e.g., 2 standard deviations of historical model error) are flagged as potentially mispriced. The output includes the direction (rich or cheap), magnitude, and confidence level.</w:t>
      </w:r>
    </w:p>
    <w:p>
      <w:pPr>
        <w:pStyle w:val="Heading2"/>
      </w:pPr>
      <w:r>
        <w:t xml:space="preserve">2.3 Non-Goals</w:t>
      </w:r>
    </w:p>
    <w:p>
      <w:pPr>
        <w:spacing w:after="120"/>
      </w:pPr>
      <w:r>
        <w:t xml:space="preserve">The system does not execute trades, manage positions, or provide portfolio-level risk aggregation. It is a signal-generation and analytics layer. Trade execution, order management, and risk limits remain downstream concerns.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</w:pPr>
      <w:r>
        <w:t xml:space="preserve">3. High-Level Architecture</w:t>
      </w:r>
    </w:p>
    <w:p>
      <w:pPr>
        <w:spacing w:after="120"/>
      </w:pPr>
      <w:r>
        <w:t xml:space="preserve">The system is organized as a five-stage pipeline. Each stage is a self-contained module with well-defined inputs and outputs. Stages communicate through Parquet files on disk (batch mode) or in-memory DataFrames (streaming mode).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Data Ingestion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options chains, spot prices, rates, and historical price series from external APIs. Store raw snapshots with timestamps.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Preprocessing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filter, validate. Apply the existing filtering pipeline (moneyness, maturity, liquidity, IV sanity). Flag but retain edge cases.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Feature Engineering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all model features: moneyness metrics, time features, realized volatility, liquidity proxies, regime indicators, Greeks.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Model Inference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trained XGBoost model to predict IV for each option. Compute residuals against market IV. Apply mispricing threshold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Output &amp; Serving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IV surface grids, mispricing reports, and diagnostic dashboards. Persist results and serve via API or flat files.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Key principle: </w:t>
      </w:r>
      <w:r>
        <w:t xml:space="preserve">each stage is independently testable, replaceable, and versionable. Adding a new feature or swapping the model requires changes to exactly one module.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</w:pPr>
      <w:r>
        <w:t xml:space="preserve">4. Data Expansion Strategy</w:t>
      </w:r>
    </w:p>
    <w:p>
      <w:pPr>
        <w:pStyle w:val="Heading2"/>
      </w:pPr>
      <w:r>
        <w:t xml:space="preserve">4.1 Multi-Day Collection</w:t>
      </w:r>
    </w:p>
    <w:p>
      <w:pPr>
        <w:spacing w:after="120"/>
      </w:pPr>
      <w:r>
        <w:t xml:space="preserve">The current dataset is a single-day snapshot (~1,546 rows after filtering). Production requires a rolling time-series dataset built from daily snapshots. The data collector will run on a schedule (e.g., daily at 4:05 PM ET, after market close) and append each day’s options chains to a partitioned store.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(end-of-day); intraday optional for real-time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SPY, QQQ, AAPL, NVDA, TSLA (extendable via config)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Moneyness 0.70–1.40 (wider than research phase)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Maturity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7–365 DTE (extended from 7–45 to capture full term structure)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~2,000–4,000 rows per day; ~60,000–120,000 rows per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Parquet, partitioned by date and ticker</w:t>
            </w:r>
          </w:p>
        </w:tc>
      </w:tr>
    </w:tbl>
    <w:p>
      <w:pPr>
        <w:pStyle w:val="Heading2"/>
      </w:pPr>
      <w:r>
        <w:t xml:space="preserve">4.2 Multi-Asset Consistency</w:t>
      </w:r>
    </w:p>
    <w:p>
      <w:pPr>
        <w:spacing w:after="120"/>
      </w:pPr>
      <w:r>
        <w:t xml:space="preserve">All tickers in a single daily snapshot must share the same observation timestamp. Spot prices, risk-free rates, and dividend yields must be captured simultaneously. This prevents look-ahead bias from asynchronous data.</w:t>
      </w:r>
    </w:p>
    <w:p>
      <w:pPr>
        <w:pStyle w:val="Heading2"/>
      </w:pPr>
      <w:r>
        <w:t xml:space="preserve">4.3 Data Leakage Prevention</w:t>
      </w:r>
    </w:p>
    <w:p>
      <w:pPr>
        <w:spacing w:after="120"/>
      </w:pPr>
      <w:r>
        <w:t xml:space="preserve">This is the single most critical data integrity requirement. Three rules govern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Time-based splits only. </w:t>
      </w:r>
      <w:r>
        <w:t xml:space="preserve">Train on days 1–N, validate on days N+1–M, test on days M+1–end. Never random-shuffle across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Feature computation uses only past data. </w:t>
      </w:r>
      <w:r>
        <w:t xml:space="preserve">Realized volatility, rolling returns, and regime indicators must use a strict lookback window with no forward leak.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 retraining uses only past data. </w:t>
      </w:r>
      <w:r>
        <w:t xml:space="preserve">When the model is retrained weekly, the training set includes only data strictly before the retrain date.</w:t>
      </w:r>
    </w:p>
    <w:p>
      <w:pPr>
        <w:pStyle w:val="Heading2"/>
      </w:pPr>
      <w:r>
        <w:t xml:space="preserve">4.4 Storage Structure</w:t>
      </w:r>
    </w:p>
    <w:p>
      <w:pPr>
        <w:spacing w:after="120"/>
      </w:pPr>
      <w:r>
        <w:t xml:space="preserve">Raw and processed data are strictly separated. Raw data is immutable; processed data is regenerated from raw by the pipeline.</w:t>
      </w:r>
    </w:p>
    <w:p>
      <w:pPr>
        <w:spacing w:after="80"/>
      </w:pPr>
    </w:p>
    <w:p>
      <w:pPr>
        <w:shd w:fill="EDF2F8" w:val="clear"/>
        <w:spacing w:after="80"/>
        <w:ind w:left="3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data/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raw/snapshots/           ← date-partitioned Parquet (immutable)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raw/spot_prices/         ← daily spot + rate + dividend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raw/historical_prices/   ← OHLCV for realized vol computation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processed/clean/         ← filtered, validated options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processed/features/      ← full feature matrix per snapshot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processed/surfaces/      ← fitted IV surface grids</w:t>
      </w:r>
    </w:p>
    <w:p>
      <w:pPr>
        <w:spacing w:after="40"/>
        <w:ind w:left="72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models/                  ← serialized model artifacts + metadata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</w:pPr>
      <w:r>
        <w:t xml:space="preserve">5. Feature Engineering — New Features</w:t>
      </w:r>
    </w:p>
    <w:p>
      <w:pPr>
        <w:spacing w:after="120"/>
      </w:pPr>
      <w:r>
        <w:t xml:space="preserve">The research phase used four features: log_moneyness, time_to_maturity, sqrt_T, and moneyness_T_interaction. XGBoost’s feature importances showed a balanced distribution, suggesting the model has fully exploited the available signal. The following new features target the known sources of remaining error.</w:t>
      </w:r>
    </w:p>
    <w:p>
      <w:pPr>
        <w:spacing w:after="80"/>
      </w:pPr>
    </w:p>
    <w:p>
      <w:pPr>
        <w:pStyle w:val="Heading2"/>
      </w:pPr>
      <w:r>
        <w:t xml:space="preserve">5.1 Realized Volatility Features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Implied volatility reflects market expectations of future volatility. Realized (historical) volatility anchors those expectations. The gap between realized and implied vol (the </w:t>
      </w:r>
      <w:r>
        <w:rPr>
          <w:i/>
          <w:iCs/>
        </w:rPr>
        <w:t xml:space="preserve">variance risk premium</w:t>
      </w:r>
      <w:r>
        <w:t xml:space="preserve">) is one of the most robust predictors of IV dynamics. Without realized vol, the model has no information about where the market’s expectations stand relative to actual price behavior.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realized_vol_20d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Annualized std of 20-day log returns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Short-term baseline volatility; most responsive to recent price moves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realized_vol_60d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Annualized std of 60-day log returns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Medium-term baseline; smooths out single-event spikes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rv_ratio_20_60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realized_vol_20d / realized_vol_60d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regime detector: &gt;1 means recent vol is elevated vs. norm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variance_risk_premium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implied_vol_atm − realized_vol_20d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measure of market fear premium; strongly predictive of IV level</w:t>
            </w:r>
          </w:p>
        </w:tc>
      </w:tr>
    </w:tbl>
    <w:p>
      <w:pPr>
        <w:pStyle w:val="Heading2"/>
      </w:pPr>
      <w:r>
        <w:t xml:space="preserve">5.2 Return-Based Features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Equity options exhibit a leverage effect: negative returns increase IV (particularly OTM puts / ITM calls), while positive returns compress it. Capturing recent return direction and magnitude lets the model adjust the predicted surface shape based on the market’s recent trajectory.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return_1d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return over last trading day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directional signal; captures overnight gaps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return_5d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5-day log return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trend; smooths daily 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return_20d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20-day log return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drift; regime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abs_return_1d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|return_1d|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 of move regardless of direction; large moves lift IV symmetrically</w:t>
            </w:r>
          </w:p>
        </w:tc>
      </w:tr>
    </w:tbl>
    <w:p>
      <w:pPr>
        <w:pStyle w:val="Heading2"/>
      </w:pPr>
      <w:r>
        <w:t xml:space="preserve">5.3 Volatility Regime Indicators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The IV surface behaves differently in high-vol vs. low-vol regimes. In high-vol environments, the smile flattens (because base IV is already elevated), while in low-vol environments, the wings steepen. A regime indicator lets the model learn these conditional surface shapes.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vix_level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 index value (for SPY/QQQ) or 30-day ATM IV proxy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Market-wide fear gauge; strong predictor of IV level across all strikes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vol_regime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Tercile of rolling 60-day realized vol (low / medium / high)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 regime label; enables tree splits on regime boundaries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vol_of_vol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std of daily realized vol changes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uncertainty about future volatility itself; predicts wing richness</w:t>
            </w:r>
          </w:p>
        </w:tc>
      </w:tr>
    </w:tbl>
    <w:p>
      <w:pPr>
        <w:pStyle w:val="Heading2"/>
      </w:pPr>
      <w:r>
        <w:t xml:space="preserve">5.4 Liquidity Proxies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Illiquid options carry wider bid-ask spreads and stale quotes, which inflate measured IV. Without liquidity features, the model cannot distinguish between a genuinely high-IV option and one whose quoted IV is inflated by poor market-making.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relative_spread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(ask − bid) / mid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liquidity measure; directly indicates quote uncertainty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log_volume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log(1 + volume)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activity proxy; log-transform handles heavy right 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log_open_interest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log(1 + open_interest)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depth; high OI indicates informed market participation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dollar_volume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× volume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 liquidity; accounts for both activity and price level</w:t>
            </w:r>
          </w:p>
        </w:tc>
      </w:tr>
    </w:tbl>
    <w:p>
      <w:pPr>
        <w:pStyle w:val="Heading2"/>
      </w:pPr>
      <w:r>
        <w:t xml:space="preserve">5.5 Greeks as Features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Delta and gamma encode the option’s sensitivity structure. Deep OTM options with near-zero delta behave very differently from ATM options with delta near 0.5. Including Greeks computed from a first-pass IV estimate gives the model richer sensitivity information than moneyness alone.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bs_delta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first-pass IV; encodes moneyness in a probability-weighted 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bs_gamma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Curvature exposure; peaks at ATM, relevant for smile shape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bs_vega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 sensitivity; normalized by sqrt(T)</w:t>
            </w:r>
          </w:p>
        </w:tc>
      </w:tr>
    </w:tbl>
    <w:p>
      <w:pPr>
        <w:pStyle w:val="Heading2"/>
      </w:pPr>
      <w:r>
        <w:t xml:space="preserve">5.6 Per-Ticker Encoding</w:t>
      </w:r>
    </w:p>
    <w:p>
      <w:pPr>
        <w:spacing w:after="120"/>
      </w:pPr>
      <w:r>
        <w:t xml:space="preserve">The research phase showed that TSLA/NVDA carry 2–3x higher base IV than SPY/QQQ. A ticker feature captures this level difference without requiring the model to learn it from indirect signals. Use label encoding (integer IDs) for tree models and one-hot encoding for any future linear or neural network model.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</w:pPr>
      <w:r>
        <w:t xml:space="preserve">6. Model Strategy</w:t>
      </w:r>
    </w:p>
    <w:p>
      <w:pPr>
        <w:pStyle w:val="Heading2"/>
      </w:pPr>
      <w:r>
        <w:t xml:space="preserve">6.1 XGBoost as Production Baseline</w:t>
      </w:r>
    </w:p>
    <w:p>
      <w:pPr>
        <w:spacing w:after="120"/>
      </w:pPr>
      <w:r>
        <w:t xml:space="preserve">XGBoost remains the production model. It achieved the lowest IV MAE (0.0556), distributes feature importance most evenly, and is fast enough for real-time inference (~1ms per option). The following improvements are recommended: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 hyperparameter tuning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Optuna with time-series cross-validation (expanding window) to optimize learning_rate, max_depth, n_estimators, subsample, colsample_bytree, and reg_lambda. Target: 5–10% MAE reduction.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weighting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existing weight column (spread-based + ATM-proximity) as sample_weight in XGBoost. This penalizes errors on liquid, tight-spread options more than illiquid wing options.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Monotonic constraints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log_moneyness monotonicity where theoretically justified (e.g., call IV should generally decrease as moneyness increases for a pure skew). This improves extrapolation stability.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Quantile regression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additional models with quantile loss (10th, 90th percentile) to generate prediction intervals. Critical for mispricing confidence.</w:t>
            </w:r>
          </w:p>
        </w:tc>
      </w:tr>
    </w:tbl>
    <w:p>
      <w:pPr>
        <w:pStyle w:val="Heading2"/>
      </w:pPr>
      <w:r>
        <w:t xml:space="preserve">6.2 Neural Network Decision</w:t>
      </w:r>
    </w:p>
    <w:p>
      <w:pPr>
        <w:spacing w:after="120"/>
      </w:pPr>
      <w:r>
        <w:rPr>
          <w:b/>
          <w:bCs/>
        </w:rPr>
        <w:t xml:space="preserve">Recommendation: defer, do not scale. </w:t>
      </w:r>
      <w:r>
        <w:t xml:space="preserve">The MLP underperformed XGBoost by 34% (IV MAE 0.0743 vs 0.0556) on 1,546 rows. Scaling the dataset to ~60,000–120,000 rows will help, but the expected payoff is uncertain. Neural networks become competitive on tabular data only at scale (&gt;100K rows) and with careful architecture design (e.g., TabNet, FT-Transformer). The engineering cost of maintaining a neural network training pipeline (GPU provisioning, learning rate scheduling, batch normalization, etc.) is not justified until XGBoost with new features reaches a clear performance ceiling. </w:t>
      </w:r>
      <w:r>
        <w:rPr>
          <w:i/>
          <w:iCs/>
        </w:rPr>
        <w:t xml:space="preserve">Revisit this decision after completing Steps 9–12 below.</w:t>
      </w:r>
    </w:p>
    <w:p>
      <w:pPr>
        <w:pStyle w:val="Heading2"/>
      </w:pPr>
      <w:r>
        <w:t xml:space="preserve">6.3 Model Versioning</w:t>
      </w:r>
    </w:p>
    <w:p>
      <w:pPr>
        <w:spacing w:after="120"/>
      </w:pPr>
      <w:r>
        <w:t xml:space="preserve">Every trained model is saved as a versioned artifact with its training metadata: date range of training data, feature list, hyperparameters, and validation metrics. Models are stored under data/models/ with a standardized naming convention (e.g., xgb_v003_20260320.json). The production system loads the latest validated model by default but supports rollback to any prior version.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</w:pPr>
      <w:r>
        <w:t xml:space="preserve">7. System Design — Module Specification</w:t>
      </w:r>
    </w:p>
    <w:p>
      <w:pPr>
        <w:spacing w:after="120"/>
      </w:pPr>
      <w:r>
        <w:t xml:space="preserve">Each module corresponds to one Python file (or small package). Dependencies flow strictly left-to-right; no module imports from a downstream module.</w:t>
      </w:r>
    </w:p>
    <w:p>
      <w:pPr>
        <w:spacing w:after="80"/>
      </w:pPr>
    </w:p>
    <w:p>
      <w:pPr>
        <w:pStyle w:val="Heading2"/>
      </w:pPr>
      <w:r>
        <w:t xml:space="preserve">7.1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ingest/collector.py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 list, API keys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raw/ Parquet snapshots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ingest/historical.py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 list, lookback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raw/historical_prices/ Parquet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preprocessing/cleaner.py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snapshot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clean/ Parquet (filtered, validated)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features/moneyness.py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data + spot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Moneyness, log_moneyness, delta proxy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features/time.py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T, sqrt_T, moneyness_T_interaction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features/realized_vol.py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prices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RV20, RV60, rv_ratio, VRP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features/returns.py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prices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1d, 5d, 20d returns + absolute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features/liquidity.py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Spread, volume, OI proxies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features/regime.py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prices + VIX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vol_regime, vol_of_vol, vix_level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features/greeks.py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data + first-pass IV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Delta, gamma, vega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features/assembler.py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 modules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feature matrix Parquet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model/trainer.py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matrix + config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Serialized XGBoost model + metadata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model/predictor.py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matrix +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predictions + residuals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model/mispricing.py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 + thresholds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Mispricing signals DataFrame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surface/interpolator.py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predictions per ticker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moneyness-maturity grid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output/reporter.py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+ signals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CSV/Parquet/JSON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output/dashboard.py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+ signals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dashboard or Streamlit app</w:t>
            </w:r>
          </w:p>
        </w:tc>
      </w:tr>
    </w:tbl>
    <w:p>
      <w:pPr>
        <w:pStyle w:val="Heading2"/>
      </w:pPr>
      <w:r>
        <w:t xml:space="preserve">7.2 Configuration</w:t>
      </w:r>
    </w:p>
    <w:p>
      <w:pPr>
        <w:spacing w:after="120"/>
      </w:pPr>
      <w:r>
        <w:t xml:space="preserve">All parameters live in a single config.yaml at the project root. No magic numbers in source code. The config includes: ticker universe, DTE/moneyness bounds, feature lookback windows, model hyperparameters, mispricing thresholds, output paths, and schedule settings.</w:t>
      </w:r>
    </w:p>
    <w:p>
      <w:pPr>
        <w:pStyle w:val="Heading2"/>
      </w:pPr>
      <w:r>
        <w:t xml:space="preserve">7.3 Folder Structure</w:t>
      </w:r>
    </w:p>
    <w:p>
      <w:pPr>
        <w:spacing w:after="80"/>
      </w:pPr>
    </w:p>
    <w:p>
      <w:pPr>
        <w:shd w:fill="EDF2F8" w:val="clear"/>
        <w:spacing w:after="60"/>
        <w:ind w:left="3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options-iv-engine/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config.yaml                  ← all parameters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main.py                       ← orchestrator (run full pipeline)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ingest/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├─ collector.py              ← options chain ingestion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└─ historical.py             ← OHLCV + VIX ingestion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preprocessing/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└─ cleaner.py                ← filter + validate + weight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features/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├─ moneyness.py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├─ time.py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├─ realized_vol.py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├─ returns.py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├─ liquidity.py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├─ regime.py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├─ greeks.py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└─ assembler.py              ← join all features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model/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├─ trainer.py                ← train + tune + serialize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├─ predictor.py              ← load model + predict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└─ mispricing.py             ← residual thresholding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surface/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└─ interpolator.py           ← grid generation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output/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├─ reporter.py               ← structured output files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│   └─ dashboard.py              ← Streamlit or HTML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evaluation/                   ← existing research scripts (preserved)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models/                        ← existing pricing models (preserved)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data/                          ← see Section 4.4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├─ tests/                         ← unit + integration tests</w:t>
      </w:r>
    </w:p>
    <w:p>
      <w:pPr>
        <w:spacing w:after="30"/>
        <w:ind w:left="720"/>
      </w:pPr>
      <w:r>
        <w:rPr>
          <w:rFonts w:ascii="Consolas" w:cs="Consolas" w:eastAsia="Consolas" w:hAnsi="Consolas"/>
          <w:color w:val="666666"/>
          <w:sz w:val="17"/>
          <w:szCs w:val="17"/>
        </w:rPr>
        <w:t xml:space="preserve">└─ notebooks/                     ← exploration + diagnostics</w:t>
      </w:r>
    </w:p>
    <w:p>
      <w:r>
        <w:br w:type="page"/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</w:pPr>
      <w:r>
        <w:t xml:space="preserve">8. Production Evaluation Framework</w:t>
      </w:r>
    </w:p>
    <w:p>
      <w:pPr>
        <w:spacing w:after="120"/>
      </w:pPr>
      <w:r>
        <w:t xml:space="preserve">Research evaluation used a single random 80/20 split. Production evaluation must account for temporal dependence, regime shifts, and model degradation over time.</w:t>
      </w:r>
    </w:p>
    <w:p>
      <w:pPr>
        <w:pStyle w:val="Heading2"/>
      </w:pPr>
      <w:r>
        <w:t xml:space="preserve">8.1 Time-Series Cross-Validation</w:t>
      </w:r>
    </w:p>
    <w:p>
      <w:pPr>
        <w:spacing w:after="120"/>
      </w:pPr>
      <w:r>
        <w:t xml:space="preserve">All validation uses an expanding-window or sliding-window approach. The data is sorted chronologically. For a given fold, the model trains on all data before date D and validates on the next W days. This is repeated across multiple cutoff dates to produce a distribution of performance metrics, not a single point estimate.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from day 1 to day D (expanding)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D+1 to D+W (W = 5 trading days by default)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20% of the time series (strictly held out, never used in tuning)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expanding-window folds across the training period</w:t>
            </w:r>
          </w:p>
        </w:tc>
      </w:tr>
    </w:tbl>
    <w:p>
      <w:pPr>
        <w:pStyle w:val="Heading2"/>
      </w:pPr>
      <w:r>
        <w:t xml:space="preserve">8.2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MAE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|predicted_IV − market_IV|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accuracy metric (continuity from research)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RMSE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mean squared IV error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Penalizes large errors; sensitive to outliers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MAE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|BS(predicted_IV) − market_mid|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Reconstruction test: does IV accuracy translate to price accuracy?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Directional accuracy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correct rich/cheap signals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Mispricing signal reliability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 ratio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Std(weekly MAE) / Mean(weekly MAE)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consistency over time; &lt;0.3 is acceptable</w:t>
            </w:r>
          </w:p>
        </w:tc>
      </w:tr>
    </w:tbl>
    <w:p>
      <w:pPr>
        <w:pStyle w:val="Heading2"/>
      </w:pPr>
      <w:r>
        <w:t xml:space="preserve">8.3 Stability &amp; Degradation Monitoring</w:t>
      </w:r>
    </w:p>
    <w:p>
      <w:pPr>
        <w:spacing w:after="120"/>
      </w:pPr>
      <w:r>
        <w:t xml:space="preserve">The system tracks model performance over rolling windows. If the 5-day rolling MAE exceeds 1.5x the historical average, a retraining trigger fires. Key monitoring signals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drift: distribution shift in input features (Kolmogorov-Smirnov test on each feature vs. training distribution)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Prediction drift: change in mean predicted IV vs. mean market IV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Residual autocorrelation: if errors become serially correlated, the model is missing a time-varying signal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Regime-conditional performance: separate MAE tracking for low-vol, medium-vol, and high-vol regimes</w:t>
      </w:r>
    </w:p>
    <w:p>
      <w:pPr>
        <w:pStyle w:val="Heading2"/>
      </w:pPr>
      <w:r>
        <w:t xml:space="preserve">8.4 Backtesting the Mispricing Detector</w:t>
      </w:r>
    </w:p>
    <w:p>
      <w:pPr>
        <w:spacing w:after="120"/>
      </w:pPr>
      <w:r>
        <w:t xml:space="preserve">Mispricing signals are backtested with a simple strategy: for each flagged option, record the IV residual at detection time and the subsequent convergence (or not) over the next 1–5 days. A useful mispricing detector should show that flagged options revert toward the model surface at a rate significantly above random. This does not require live trading; it is a statistical validation on historical data.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</w:pPr>
      <w:r>
        <w:t xml:space="preserve">9. Step-by-Step Implementation Plan</w:t>
      </w:r>
    </w:p>
    <w:p>
      <w:pPr>
        <w:spacing w:after="120"/>
      </w:pPr>
      <w:r>
        <w:t xml:space="preserve">Steps 1–8 are complete (research phase). The following steps build the production system incrementally, with each step producing a testable, usable deliverable.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9: Data Collector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ingest/ module; automated daily snapshots to raw/ Parquet; config-driven ticker universe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10: Preprocessing Module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preprocessing/cleaner.py; replaces scripts/clean_spy_options.py and pipeline/filter_iv_dataset.py with a single, configurable, multi-asset cleaner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11: Feature 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 package; all new features (realized vol, returns, regime, liquidity, Greeks); assembler.py joins into a single feature matrix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12: Model Retraining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model/trainer.py; Optuna-based hyperparameter tuning with expanding-window CV; model versioning and serialization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13: Predictor + Mispricing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model/predictor.py and model/mispricing.py; batch inference with quantile intervals; threshold-based signal generation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14: Surface Interpolation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surface/interpolator.py; regular moneyness-maturity grid per ticker; supports both scattered-data and grid-based output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15: Output &amp; Dashboard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output/ module; CSV/Parquet reports, HTML dashboard (Streamlit), per-ticker surface visualizations, signal tables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16: Evaluation Suite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 and evaluation notebooks; time-series CV, stability monitoring, mispricing backtest, feature importance tracking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17: Orchestrator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main.py; end-to-end pipeline execution; CLI with --mode batch|retrain|predict; logging and error handling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18: Documentation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config reference, module docstrings, architecture diagram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Total estimated effort: </w:t>
      </w:r>
      <w:r>
        <w:t xml:space="preserve">16–24 working days. Steps 9–11 are the critical path; Steps 12–18 can partially overlap.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</w:pPr>
      <w:r>
        <w:t xml:space="preserve">10. Key Design Decisions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(gradient boosting)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IV MAE (0.0556); fast inference; native feature importance; handles mixed feature types; well-understood regularization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network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34% worse than XGBoost on current data; engineering overhead not justified until tree models plateau on expanded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 (not CSV)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Columnar, compressed, schema-enforced; 5–10x faster reads than CSV; preserves dtypes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Time-based expanding window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data leakage; reflects real deployment where future data is unavailable at train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config.yaml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source of truth; no scattered constants; easy to version control and diff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computation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module per feature group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concerns; each module testable independently; new features added without touching existing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Mispricing threshold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z-score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2σ default; user-adjustable per use case; avoids hardcoded assumptions about acceptable residual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code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Preserved, not rewritten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evaluation/ and models/ directories remain untouched; new code builds on top in separate directories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interpolation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RBF or linear grid from XGBoost predictions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output surface; XGBoost handles the hard prediction work, interpolator just fills the grid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(lightweight)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to build; interactive; runs locally or on a server; no frontend framework overhead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pStyle w:val="Heading1"/>
      </w:pPr>
      <w:r>
        <w:t xml:space="preserve">11. Risk Register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limits on data provider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daily snapshots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logic with exponential backoff; cache partial results; alert on missing tickers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leakage in realized vol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Inflated backtest metrics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lookback-only computation; unit tests that assert no future data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degradation after regime shift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predictions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retraining trigger; regime-conditional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 on expanded features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out-of-sample performance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Expanding-window CV; feature selection via permutation importance; regularization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 schema changes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breakage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 at ingestion; versioned schemas in config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pStyle w:val="Heading1"/>
      </w:pPr>
      <w:r>
        <w:t xml:space="preserve">12. Success Criteria</w:t>
      </w:r>
    </w:p>
    <w:p>
      <w:pPr>
        <w:spacing w:after="120"/>
      </w:pPr>
      <w:r>
        <w:t xml:space="preserve">The production system is considered successful when it meets the following measurable criteria: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IV MAE &lt; 0.040 </w:t>
      </w:r>
      <w:r>
        <w:t xml:space="preserve">on out-of-sample data (improving from 0.0556 via new features and tuning)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Price reconstruction MAE &lt; $0.10 </w:t>
      </w:r>
      <w:r>
        <w:t xml:space="preserve">for ATM options (moneyness 0.95–1.05)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Stability ratio &lt; 0.30 </w:t>
      </w:r>
      <w:r>
        <w:t xml:space="preserve">across all rolling evaluation windows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Mispricing signals show &gt;55% directional accuracy </w:t>
      </w:r>
      <w:r>
        <w:t xml:space="preserve">on 1-day forward IV convergence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End-to-end pipeline runs in &lt;5 minutes </w:t>
      </w:r>
      <w:r>
        <w:t xml:space="preserve">for a full daily snapshot (5 tickers, ~3,000 options)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Zero data leakage </w:t>
      </w:r>
      <w:r>
        <w:t xml:space="preserve">confirmed by time-series CV structure and unit tests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IV Surface Engine — Production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2026-03-20T09:51:04.954Z</dcterms:created>
  <dcterms:modified xsi:type="dcterms:W3CDTF">2026-03-20T09:51:04.955Z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