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9EE" w:rsidRPr="008D405E" w:rsidRDefault="00CC09E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:rsidR="00CC09EE" w:rsidRPr="008D405E" w:rsidRDefault="00CC09EE" w:rsidP="00CC09EE">
      <w:pPr>
        <w:rPr>
          <w:rFonts w:ascii="Arial" w:hAnsi="Arial" w:cs="Arial"/>
          <w:lang w:val="es-ES"/>
        </w:rPr>
      </w:pPr>
    </w:p>
    <w:p w:rsidR="00CC09EE" w:rsidRPr="008D405E" w:rsidRDefault="00CC09EE" w:rsidP="00CC09EE">
      <w:pPr>
        <w:rPr>
          <w:rFonts w:ascii="Arial" w:hAnsi="Arial" w:cs="Arial"/>
          <w:lang w:val="es-ES"/>
        </w:rPr>
      </w:pPr>
    </w:p>
    <w:p w:rsidR="006B2A9A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40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40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40"/>
          <w:lang w:val="es"/>
        </w:rPr>
      </w:pPr>
    </w:p>
    <w:p w:rsidR="006B2A9A" w:rsidRPr="00140732" w:rsidRDefault="006B2A9A" w:rsidP="006B2A9A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0"/>
          <w:lang w:val="es"/>
        </w:rPr>
      </w:pPr>
      <w:r w:rsidRPr="00140732">
        <w:rPr>
          <w:rFonts w:ascii="Calibri" w:hAnsi="Calibri" w:cs="Calibri"/>
          <w:b/>
          <w:sz w:val="40"/>
          <w:lang w:val="es"/>
        </w:rPr>
        <w:t>Protección Ambiental - Salud Ambiental - Residuos Peligrosos Biológico-Infecciosos - Clasificación y Especificaciones de Manejo</w:t>
      </w:r>
      <w:r>
        <w:rPr>
          <w:rFonts w:ascii="Calibri" w:hAnsi="Calibri" w:cs="Calibri"/>
          <w:b/>
          <w:sz w:val="40"/>
          <w:lang w:val="es"/>
        </w:rPr>
        <w:t xml:space="preserve"> Y Residuos Especiales</w:t>
      </w:r>
      <w:r w:rsidRPr="00EC2087">
        <w:rPr>
          <w:rFonts w:ascii="Calibri" w:hAnsi="Calibri" w:cs="Calibri"/>
          <w:sz w:val="40"/>
          <w:lang w:val="es"/>
        </w:rPr>
        <w:t xml:space="preserve"> </w:t>
      </w:r>
      <w:r w:rsidRPr="00140732">
        <w:rPr>
          <w:rFonts w:ascii="Calibri" w:hAnsi="Calibri" w:cs="Calibri"/>
          <w:sz w:val="40"/>
          <w:lang w:val="es"/>
        </w:rPr>
        <w:t>NOM-087</w:t>
      </w:r>
      <w:r>
        <w:rPr>
          <w:rFonts w:ascii="Calibri" w:hAnsi="Calibri" w:cs="Calibri"/>
          <w:sz w:val="40"/>
          <w:lang w:val="es"/>
        </w:rPr>
        <w:t xml:space="preserve">-SEMARNAT-SSA1-2002. </w:t>
      </w:r>
    </w:p>
    <w:p w:rsidR="006B2A9A" w:rsidRDefault="006B2A9A" w:rsidP="006B2A9A">
      <w:pPr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p w:rsidR="006B2A9A" w:rsidRDefault="006B2A9A" w:rsidP="006B2A9A">
      <w:pPr>
        <w:rPr>
          <w:rFonts w:ascii="Arial" w:hAnsi="Arial" w:cs="Arial"/>
          <w:sz w:val="24"/>
          <w:szCs w:val="24"/>
          <w:lang w:val="es"/>
        </w:rPr>
      </w:pPr>
    </w:p>
    <w:tbl>
      <w:tblPr>
        <w:tblStyle w:val="Tablaconcuadrcula"/>
        <w:tblpPr w:leftFromText="141" w:rightFromText="141" w:vertAnchor="text" w:horzAnchor="margin" w:tblpXSpec="center" w:tblpY="290"/>
        <w:tblW w:w="10852" w:type="dxa"/>
        <w:tblLook w:val="04A0" w:firstRow="1" w:lastRow="0" w:firstColumn="1" w:lastColumn="0" w:noHBand="0" w:noVBand="1"/>
      </w:tblPr>
      <w:tblGrid>
        <w:gridCol w:w="1060"/>
        <w:gridCol w:w="3980"/>
        <w:gridCol w:w="2977"/>
        <w:gridCol w:w="2835"/>
      </w:tblGrid>
      <w:tr w:rsidR="006B2A9A" w:rsidRPr="006B2A9A" w:rsidTr="003635FC">
        <w:trPr>
          <w:trHeight w:val="336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Elaboró:</w:t>
            </w: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Revisó:</w:t>
            </w: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Autorizó:</w:t>
            </w:r>
          </w:p>
        </w:tc>
      </w:tr>
      <w:tr w:rsidR="006B2A9A" w:rsidRPr="006B2A9A" w:rsidTr="003635FC">
        <w:trPr>
          <w:trHeight w:val="312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Nombre:</w:t>
            </w: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 xml:space="preserve">M en C. Carmen </w:t>
            </w:r>
            <w:proofErr w:type="spellStart"/>
            <w:r w:rsidRPr="006B2A9A">
              <w:rPr>
                <w:rFonts w:ascii="Calibri" w:hAnsi="Calibri" w:cs="Arial"/>
                <w:lang w:val="es-ES"/>
              </w:rPr>
              <w:t>Licet</w:t>
            </w:r>
            <w:proofErr w:type="spellEnd"/>
            <w:r w:rsidRPr="006B2A9A">
              <w:rPr>
                <w:rFonts w:ascii="Calibri" w:hAnsi="Calibri" w:cs="Arial"/>
                <w:lang w:val="es-ES"/>
              </w:rPr>
              <w:t xml:space="preserve"> Pérez de Gante</w:t>
            </w: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Dr. Oscar Medina Contreras</w:t>
            </w: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Dr. Genaro Patiño López</w:t>
            </w:r>
          </w:p>
        </w:tc>
      </w:tr>
      <w:tr w:rsidR="006B2A9A" w:rsidRPr="006B2A9A" w:rsidTr="003635FC">
        <w:trPr>
          <w:trHeight w:val="336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Firma:</w:t>
            </w: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</w:p>
        </w:tc>
      </w:tr>
      <w:tr w:rsidR="006B2A9A" w:rsidRPr="006B2A9A" w:rsidTr="003635FC">
        <w:trPr>
          <w:trHeight w:val="312"/>
        </w:trPr>
        <w:tc>
          <w:tcPr>
            <w:tcW w:w="106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Fecha:</w:t>
            </w:r>
          </w:p>
        </w:tc>
        <w:tc>
          <w:tcPr>
            <w:tcW w:w="3980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2018-05-07</w:t>
            </w:r>
          </w:p>
        </w:tc>
        <w:tc>
          <w:tcPr>
            <w:tcW w:w="2977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2018-05-07</w:t>
            </w:r>
          </w:p>
        </w:tc>
        <w:tc>
          <w:tcPr>
            <w:tcW w:w="2835" w:type="dxa"/>
            <w:vAlign w:val="center"/>
          </w:tcPr>
          <w:p w:rsidR="006B2A9A" w:rsidRPr="006B2A9A" w:rsidRDefault="006B2A9A" w:rsidP="003635FC">
            <w:pPr>
              <w:spacing w:after="0"/>
              <w:jc w:val="center"/>
              <w:rPr>
                <w:rFonts w:ascii="Calibri" w:hAnsi="Calibri" w:cs="Arial"/>
                <w:lang w:val="es-ES"/>
              </w:rPr>
            </w:pPr>
            <w:r w:rsidRPr="006B2A9A">
              <w:rPr>
                <w:rFonts w:ascii="Calibri" w:hAnsi="Calibri" w:cs="Arial"/>
                <w:lang w:val="es-ES"/>
              </w:rPr>
              <w:t>2018-05-07</w:t>
            </w:r>
          </w:p>
        </w:tc>
      </w:tr>
    </w:tbl>
    <w:p w:rsid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jc w:val="both"/>
        <w:rPr>
          <w:rFonts w:ascii="Calibri" w:hAnsi="Calibri" w:cs="Calibri"/>
          <w:sz w:val="22"/>
          <w:lang w:val="es"/>
        </w:rPr>
      </w:pPr>
      <w:r w:rsidRPr="006B2A9A">
        <w:rPr>
          <w:rFonts w:ascii="Calibri" w:hAnsi="Calibri" w:cs="Calibri"/>
          <w:b/>
          <w:bCs/>
          <w:sz w:val="22"/>
          <w:lang w:val="es"/>
        </w:rPr>
        <w:lastRenderedPageBreak/>
        <w:t>Propósito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232D2B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232D2B">
        <w:rPr>
          <w:rFonts w:ascii="Calibri" w:hAnsi="Calibri" w:cs="Calibri"/>
          <w:lang w:val="es"/>
        </w:rPr>
        <w:t xml:space="preserve">Generar el conocimiento necesario de la diferencia que existe entre un desecho tipo RPMI y un residuo especial, su manejo, su disposición y la importancia que tiene en la disminución de riesgos potenciales en la salud y medio ambiente; que se generan de las actividades diarias realizadas en el Laboratorio de Inmunología y </w:t>
      </w:r>
      <w:proofErr w:type="spellStart"/>
      <w:r w:rsidRPr="00232D2B">
        <w:rPr>
          <w:rFonts w:ascii="Calibri" w:hAnsi="Calibri" w:cs="Calibri"/>
          <w:lang w:val="es"/>
        </w:rPr>
        <w:t>Proteómica</w:t>
      </w:r>
      <w:proofErr w:type="spellEnd"/>
      <w:r w:rsidRPr="00232D2B">
        <w:rPr>
          <w:rFonts w:ascii="Calibri" w:hAnsi="Calibri" w:cs="Calibri"/>
          <w:lang w:val="es"/>
        </w:rPr>
        <w:t xml:space="preserve"> del Hospital Infantil de México Federico Gómez. </w:t>
      </w: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rPr>
          <w:rFonts w:ascii="Calibri" w:hAnsi="Calibri" w:cs="Calibri"/>
          <w:b/>
          <w:bCs/>
          <w:sz w:val="22"/>
          <w:lang w:val="es"/>
        </w:rPr>
      </w:pPr>
      <w:r w:rsidRPr="006B2A9A">
        <w:rPr>
          <w:rFonts w:ascii="Calibri" w:hAnsi="Calibri" w:cs="Calibri"/>
          <w:b/>
          <w:bCs/>
          <w:sz w:val="22"/>
          <w:lang w:val="es"/>
        </w:rPr>
        <w:t xml:space="preserve">Alcance  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232D2B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232D2B">
        <w:rPr>
          <w:rFonts w:ascii="Calibri" w:hAnsi="Calibri" w:cs="Calibri"/>
          <w:lang w:val="es"/>
        </w:rPr>
        <w:t xml:space="preserve">Este procedimiento involucra a todo el personal técnico, científico y estudiantes que generen desechos biológico-infecciosos y residuo especiales que se encuentren actualmente adscritos al laboratorio de Inmunología y </w:t>
      </w:r>
      <w:proofErr w:type="spellStart"/>
      <w:r w:rsidRPr="00232D2B">
        <w:rPr>
          <w:rFonts w:ascii="Calibri" w:hAnsi="Calibri" w:cs="Calibri"/>
          <w:lang w:val="es"/>
        </w:rPr>
        <w:t>Proteómica</w:t>
      </w:r>
      <w:proofErr w:type="spellEnd"/>
      <w:r w:rsidRPr="00232D2B">
        <w:rPr>
          <w:rFonts w:ascii="Calibri" w:hAnsi="Calibri" w:cs="Calibri"/>
          <w:lang w:val="es"/>
        </w:rPr>
        <w:t xml:space="preserve"> del Hospital Infantil Federico Gómez. </w:t>
      </w: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jc w:val="both"/>
        <w:rPr>
          <w:rFonts w:ascii="Calibri" w:hAnsi="Calibri" w:cs="Calibri"/>
          <w:sz w:val="22"/>
          <w:lang w:val="es"/>
        </w:rPr>
      </w:pPr>
      <w:r w:rsidRPr="006B2A9A">
        <w:rPr>
          <w:rFonts w:ascii="Calibri" w:hAnsi="Calibri" w:cs="Calibri"/>
          <w:b/>
          <w:bCs/>
          <w:sz w:val="22"/>
          <w:lang w:val="es"/>
        </w:rPr>
        <w:t>Marco teórico</w:t>
      </w:r>
      <w:r w:rsidRPr="006B2A9A">
        <w:rPr>
          <w:rFonts w:ascii="Calibri" w:hAnsi="Calibri" w:cs="Calibri"/>
          <w:sz w:val="22"/>
          <w:lang w:val="es"/>
        </w:rPr>
        <w:t xml:space="preserve"> </w:t>
      </w:r>
    </w:p>
    <w:p w:rsidR="00D5352C" w:rsidRDefault="00D5352C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232D2B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232D2B">
        <w:rPr>
          <w:rFonts w:ascii="Calibri" w:hAnsi="Calibri" w:cs="Calibri"/>
          <w:lang w:val="es"/>
        </w:rPr>
        <w:t xml:space="preserve">Todos los días de las actividades cotidianas realizadas en el Laboratorio de Inmunología y </w:t>
      </w:r>
      <w:proofErr w:type="spellStart"/>
      <w:r w:rsidRPr="00232D2B">
        <w:rPr>
          <w:rFonts w:ascii="Calibri" w:hAnsi="Calibri" w:cs="Calibri"/>
          <w:lang w:val="es"/>
        </w:rPr>
        <w:t>Proteómica</w:t>
      </w:r>
      <w:proofErr w:type="spellEnd"/>
      <w:r w:rsidRPr="00232D2B">
        <w:rPr>
          <w:rFonts w:ascii="Calibri" w:hAnsi="Calibri" w:cs="Calibri"/>
          <w:lang w:val="es"/>
        </w:rPr>
        <w:t xml:space="preserve"> que pertenece HIMFG, se generan una amplia gama de residuos biológico-infecciosos y residuos especiales, algunos de los cuales puede constituir riesgos potenciales para la salud laboral, y/o para el ambiente. Conscientes de la responsabilidad del cuidado de la salud y del ambiente y siendo un hospital de referencia a nivel Nacional y/o escuela, en donde se forman profesionistas de alto nivel, se han implementado la norma oficial mexicana NOM-087-SEMARNAT-SSA1-2002, </w:t>
      </w:r>
      <w:r w:rsidRPr="00232D2B">
        <w:rPr>
          <w:rFonts w:ascii="Calibri" w:hAnsi="Calibri" w:cs="Calibri"/>
          <w:b/>
          <w:lang w:val="es"/>
        </w:rPr>
        <w:t>Protección Ambiental - Salud Ambiental - Residuos Peligrosos Biológico-Infecciosos - Clasificación y Especificaciones de Manejo</w:t>
      </w:r>
      <w:r w:rsidRPr="00232D2B">
        <w:rPr>
          <w:rFonts w:ascii="Calibri" w:hAnsi="Calibri" w:cs="Calibri"/>
          <w:b/>
          <w:bCs/>
          <w:lang w:val="es"/>
        </w:rPr>
        <w:t>,</w:t>
      </w:r>
      <w:r w:rsidRPr="00232D2B">
        <w:rPr>
          <w:rFonts w:ascii="Calibri" w:hAnsi="Calibri" w:cs="Calibri"/>
          <w:lang w:val="es"/>
        </w:rPr>
        <w:t xml:space="preserve"> cuyo objetivo es minimizar el impacto negativo de los residuos RPBI y residuos especiales provocado por la disposición inadecuada en el ambiente.</w:t>
      </w:r>
    </w:p>
    <w:p w:rsidR="006B2A9A" w:rsidRPr="006B2A9A" w:rsidRDefault="006B2A9A" w:rsidP="006B2A9A">
      <w:pPr>
        <w:pStyle w:val="Prrafodelista"/>
        <w:numPr>
          <w:ilvl w:val="0"/>
          <w:numId w:val="43"/>
        </w:numPr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  <w:r w:rsidRPr="006B2A9A">
        <w:rPr>
          <w:rFonts w:ascii="Calibri" w:hAnsi="Calibri" w:cs="Calibri"/>
          <w:b/>
          <w:sz w:val="22"/>
          <w:lang w:val="es"/>
        </w:rPr>
        <w:t>Objetivos</w:t>
      </w:r>
    </w:p>
    <w:p w:rsidR="006B2A9A" w:rsidRPr="006B2A9A" w:rsidRDefault="006B2A9A" w:rsidP="006B2A9A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Este manual tiene el objetivo de aclarar las posibles dudas acerca de la identificación, clasificación, manejo y disposición final de residuos biológico-Infecciosos y de residuos especiales que se generar en particular en el Laboratorio de Inmunología y </w:t>
      </w:r>
      <w:proofErr w:type="spellStart"/>
      <w:r>
        <w:rPr>
          <w:rFonts w:ascii="Calibri" w:hAnsi="Calibri" w:cs="Calibri"/>
          <w:lang w:val="es"/>
        </w:rPr>
        <w:t>Proteómica</w:t>
      </w:r>
      <w:proofErr w:type="spellEnd"/>
      <w:r>
        <w:rPr>
          <w:rFonts w:ascii="Calibri" w:hAnsi="Calibri" w:cs="Calibri"/>
          <w:lang w:val="es"/>
        </w:rPr>
        <w:t>.</w:t>
      </w:r>
    </w:p>
    <w:p w:rsidR="006B2A9A" w:rsidRPr="00D5352C" w:rsidRDefault="006B2A9A" w:rsidP="00D5352C">
      <w:pPr>
        <w:pStyle w:val="Prrafodelista"/>
        <w:numPr>
          <w:ilvl w:val="0"/>
          <w:numId w:val="44"/>
        </w:numPr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  <w:r w:rsidRPr="00D5352C">
        <w:rPr>
          <w:rFonts w:ascii="Calibri" w:hAnsi="Calibri" w:cs="Calibri"/>
          <w:b/>
          <w:sz w:val="22"/>
          <w:lang w:val="es"/>
        </w:rPr>
        <w:t xml:space="preserve">Identificación </w:t>
      </w:r>
    </w:p>
    <w:p w:rsidR="00D5352C" w:rsidRPr="00D5352C" w:rsidRDefault="00D5352C" w:rsidP="00D5352C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b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Los </w:t>
      </w:r>
      <w:r w:rsidRPr="000602AC">
        <w:rPr>
          <w:b/>
          <w:u w:val="single"/>
          <w:lang w:val="es"/>
        </w:rPr>
        <w:t>R</w:t>
      </w:r>
      <w:r>
        <w:rPr>
          <w:lang w:val="es"/>
        </w:rPr>
        <w:t xml:space="preserve">esiduo </w:t>
      </w:r>
      <w:r w:rsidRPr="000602AC">
        <w:rPr>
          <w:b/>
          <w:u w:val="single"/>
          <w:lang w:val="es"/>
        </w:rPr>
        <w:t>P</w:t>
      </w:r>
      <w:r>
        <w:rPr>
          <w:lang w:val="es"/>
        </w:rPr>
        <w:t xml:space="preserve">eligroso </w:t>
      </w:r>
      <w:r w:rsidRPr="000602AC">
        <w:rPr>
          <w:b/>
          <w:u w:val="single"/>
          <w:lang w:val="es"/>
        </w:rPr>
        <w:t>B</w:t>
      </w:r>
      <w:r>
        <w:rPr>
          <w:lang w:val="es"/>
        </w:rPr>
        <w:t>iológico-</w:t>
      </w:r>
      <w:r w:rsidRPr="000602AC">
        <w:rPr>
          <w:b/>
          <w:u w:val="single"/>
          <w:lang w:val="es"/>
        </w:rPr>
        <w:t>I</w:t>
      </w:r>
      <w:r>
        <w:rPr>
          <w:lang w:val="es"/>
        </w:rPr>
        <w:t>nfecciosos (</w:t>
      </w:r>
      <w:r w:rsidRPr="000602AC">
        <w:rPr>
          <w:b/>
          <w:lang w:val="es"/>
        </w:rPr>
        <w:t>RPMI</w:t>
      </w:r>
      <w:r>
        <w:rPr>
          <w:lang w:val="es"/>
        </w:rPr>
        <w:t xml:space="preserve">) </w:t>
      </w:r>
      <w:r w:rsidRPr="009C0C15">
        <w:rPr>
          <w:lang w:val="es"/>
        </w:rPr>
        <w:t xml:space="preserve">son aquellos generados durante las </w:t>
      </w:r>
      <w:r>
        <w:rPr>
          <w:lang w:val="es"/>
        </w:rPr>
        <w:t xml:space="preserve"> </w:t>
      </w:r>
      <w:r w:rsidRPr="009C0C15">
        <w:rPr>
          <w:lang w:val="es"/>
        </w:rPr>
        <w:t>diferentes etapas de investigación</w:t>
      </w:r>
      <w:r>
        <w:rPr>
          <w:lang w:val="es"/>
        </w:rPr>
        <w:t>,</w:t>
      </w:r>
      <w:r w:rsidRPr="009C0C15">
        <w:rPr>
          <w:lang w:val="es"/>
        </w:rPr>
        <w:t xml:space="preserve"> que involucra manejo de muestras biológicas procedentes de pacientes, animales o directamente agentes patógenos</w:t>
      </w:r>
      <w:r>
        <w:rPr>
          <w:lang w:val="es"/>
        </w:rPr>
        <w:t xml:space="preserve"> </w:t>
      </w:r>
      <w:r>
        <w:rPr>
          <w:rFonts w:ascii="Calibri" w:hAnsi="Calibri" w:cs="Calibri"/>
          <w:lang w:val="es"/>
        </w:rPr>
        <w:t>(virus, priones, bacterias, hongos, cestodos, trematodos, nematodos), según la norma se define</w:t>
      </w:r>
      <w:r w:rsidRPr="00743859">
        <w:rPr>
          <w:rFonts w:ascii="Calibri" w:hAnsi="Calibri" w:cs="Calibri"/>
          <w:lang w:val="es"/>
        </w:rPr>
        <w:t xml:space="preserve"> como “</w:t>
      </w:r>
      <w:r w:rsidRPr="001132D7">
        <w:rPr>
          <w:rFonts w:ascii="Calibri" w:hAnsi="Calibri" w:cs="Calibri"/>
          <w:b/>
          <w:u w:val="single"/>
          <w:lang w:val="es"/>
        </w:rPr>
        <w:t>cualquier microorganismo</w:t>
      </w:r>
      <w:r w:rsidRPr="00743859"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>capaz de producir enfermedades”. P</w:t>
      </w:r>
      <w:r w:rsidRPr="001132D7">
        <w:rPr>
          <w:rFonts w:ascii="Calibri" w:hAnsi="Calibri" w:cs="Calibri"/>
          <w:lang w:val="es"/>
        </w:rPr>
        <w:t>ueden ser de varios tipos: sangre, cultivos, residuos patológicos, residuos no anatómicos y materiales punzo cortantes</w:t>
      </w:r>
      <w:r>
        <w:rPr>
          <w:rFonts w:ascii="Calibri" w:hAnsi="Calibri" w:cs="Calibri"/>
          <w:lang w:val="es"/>
        </w:rPr>
        <w:t xml:space="preserve">. 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Por otro lado, se considera como </w:t>
      </w:r>
      <w:r w:rsidRPr="003E1ECD">
        <w:rPr>
          <w:rFonts w:ascii="Calibri" w:hAnsi="Calibri" w:cs="Calibri"/>
          <w:b/>
          <w:u w:val="single"/>
          <w:lang w:val="es"/>
        </w:rPr>
        <w:t>Residuos Especiales</w:t>
      </w:r>
      <w:r w:rsidRPr="009C0C15"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>los</w:t>
      </w:r>
      <w:r w:rsidRPr="009C0C15"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 xml:space="preserve">que son </w:t>
      </w:r>
      <w:r w:rsidRPr="009C0C15">
        <w:rPr>
          <w:rFonts w:ascii="Calibri" w:hAnsi="Calibri" w:cs="Calibri"/>
          <w:lang w:val="es"/>
        </w:rPr>
        <w:t xml:space="preserve">generados de las actividades propias de los proyectos de </w:t>
      </w:r>
      <w:r>
        <w:rPr>
          <w:rFonts w:ascii="Calibri" w:hAnsi="Calibri" w:cs="Calibri"/>
          <w:lang w:val="es"/>
        </w:rPr>
        <w:t xml:space="preserve">investigación como materiales de curación o desechables </w:t>
      </w:r>
      <w:r w:rsidRPr="009C0C15">
        <w:rPr>
          <w:rFonts w:ascii="Calibri" w:hAnsi="Calibri" w:cs="Calibri"/>
          <w:lang w:val="es"/>
        </w:rPr>
        <w:t xml:space="preserve">que no haya entrado en </w:t>
      </w:r>
      <w:r w:rsidRPr="009C0C15">
        <w:rPr>
          <w:rFonts w:ascii="Calibri" w:hAnsi="Calibri" w:cs="Calibri"/>
          <w:lang w:val="es"/>
        </w:rPr>
        <w:lastRenderedPageBreak/>
        <w:t>contacto con los pacientes o con agentes infecciosos, pero que constituyen un peligro para la salud</w:t>
      </w:r>
      <w:r>
        <w:rPr>
          <w:rFonts w:ascii="Calibri" w:hAnsi="Calibri" w:cs="Calibri"/>
          <w:lang w:val="es"/>
        </w:rPr>
        <w:t>. Dentro de estos residuos hospitalarios se encuentran: material no contaminado, material de curación con poca sangre seca, empaques de materiales de curación, gasas, cubre bocas jeringas sin sangre y sin aguja.</w:t>
      </w:r>
    </w:p>
    <w:p w:rsidR="006B2A9A" w:rsidRPr="00D5352C" w:rsidRDefault="006B2A9A" w:rsidP="00D5352C">
      <w:pPr>
        <w:pStyle w:val="Prrafodelista"/>
        <w:numPr>
          <w:ilvl w:val="0"/>
          <w:numId w:val="45"/>
        </w:numPr>
        <w:autoSpaceDE w:val="0"/>
        <w:autoSpaceDN w:val="0"/>
        <w:adjustRightInd w:val="0"/>
        <w:jc w:val="both"/>
        <w:rPr>
          <w:rFonts w:ascii="Calibri" w:hAnsi="Calibri" w:cs="Calibri"/>
          <w:b/>
          <w:sz w:val="22"/>
          <w:lang w:val="es"/>
        </w:rPr>
      </w:pPr>
      <w:r w:rsidRPr="00D5352C">
        <w:rPr>
          <w:rFonts w:ascii="Calibri" w:hAnsi="Calibri" w:cs="Calibri"/>
          <w:b/>
          <w:sz w:val="22"/>
          <w:lang w:val="es"/>
        </w:rPr>
        <w:t xml:space="preserve">Clasificación </w:t>
      </w:r>
    </w:p>
    <w:p w:rsidR="00D5352C" w:rsidRPr="00D5352C" w:rsidRDefault="00D5352C" w:rsidP="00D5352C">
      <w:pPr>
        <w:pStyle w:val="Prrafodelista"/>
        <w:autoSpaceDE w:val="0"/>
        <w:autoSpaceDN w:val="0"/>
        <w:adjustRightInd w:val="0"/>
        <w:jc w:val="both"/>
        <w:rPr>
          <w:rFonts w:ascii="Calibri" w:hAnsi="Calibri" w:cs="Calibri"/>
          <w:b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  <w:r w:rsidRPr="008D3672">
        <w:rPr>
          <w:rFonts w:ascii="Calibri" w:hAnsi="Calibri" w:cs="Calibri"/>
          <w:lang w:val="es"/>
        </w:rPr>
        <w:t xml:space="preserve">La etapa de clasificación es fundamental </w:t>
      </w:r>
      <w:r>
        <w:rPr>
          <w:rFonts w:ascii="Calibri" w:hAnsi="Calibri" w:cs="Calibri"/>
          <w:lang w:val="es"/>
        </w:rPr>
        <w:t>en manejo de RPBI  y de l</w:t>
      </w:r>
      <w:r w:rsidRPr="008D3672">
        <w:rPr>
          <w:rFonts w:ascii="Calibri" w:hAnsi="Calibri" w:cs="Calibri"/>
          <w:lang w:val="es"/>
        </w:rPr>
        <w:t>os</w:t>
      </w:r>
      <w:r>
        <w:rPr>
          <w:rFonts w:ascii="Calibri" w:hAnsi="Calibri" w:cs="Calibri"/>
          <w:lang w:val="es"/>
        </w:rPr>
        <w:t xml:space="preserve"> r</w:t>
      </w:r>
      <w:r w:rsidRPr="008D3672">
        <w:rPr>
          <w:rFonts w:ascii="Calibri" w:hAnsi="Calibri" w:cs="Calibri"/>
          <w:lang w:val="es"/>
        </w:rPr>
        <w:t>esiduos Especiales</w:t>
      </w:r>
      <w:r w:rsidR="00D5352C"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lang w:val="es"/>
        </w:rPr>
        <w:t xml:space="preserve"> para evitar riesgos a la salud y daños al medio ambiente, lo cual conlleva a una mejor administración de los recursos y también reduce los gastos de operación.</w:t>
      </w:r>
    </w:p>
    <w:p w:rsidR="006B2A9A" w:rsidRPr="008D3672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b/>
          <w:lang w:val="es"/>
        </w:rPr>
      </w:pPr>
      <w:r>
        <w:rPr>
          <w:rFonts w:ascii="Calibri" w:hAnsi="Calibri" w:cs="Calibri"/>
          <w:lang w:val="es"/>
        </w:rPr>
        <w:t xml:space="preserve">Los </w:t>
      </w:r>
      <w:r w:rsidRPr="008D3672">
        <w:rPr>
          <w:rFonts w:ascii="Calibri" w:hAnsi="Calibri" w:cs="Calibri"/>
          <w:lang w:val="es"/>
        </w:rPr>
        <w:t xml:space="preserve">residuos </w:t>
      </w:r>
      <w:r>
        <w:rPr>
          <w:rFonts w:ascii="Calibri" w:hAnsi="Calibri" w:cs="Calibri"/>
          <w:lang w:val="es"/>
        </w:rPr>
        <w:t>RPB</w:t>
      </w:r>
      <w:r w:rsidRPr="008D3672">
        <w:rPr>
          <w:rFonts w:ascii="Calibri" w:hAnsi="Calibri" w:cs="Calibri"/>
          <w:lang w:val="es"/>
        </w:rPr>
        <w:t>I</w:t>
      </w:r>
      <w:r>
        <w:rPr>
          <w:rFonts w:ascii="Calibri" w:hAnsi="Calibri" w:cs="Calibri"/>
          <w:lang w:val="es"/>
        </w:rPr>
        <w:t xml:space="preserve"> y los residuos especiales, deben ser identificados para ser separados y envasados inmediatamente después de su generación, es decir en el mismo lugar en el que se originan</w:t>
      </w:r>
      <w:r w:rsidR="00D5352C">
        <w:rPr>
          <w:rFonts w:ascii="Calibri" w:hAnsi="Calibri" w:cs="Calibri"/>
          <w:lang w:val="es"/>
        </w:rPr>
        <w:t>.</w:t>
      </w:r>
    </w:p>
    <w:p w:rsidR="006B2A9A" w:rsidRPr="00D5352C" w:rsidRDefault="006B2A9A" w:rsidP="006B2A9A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2"/>
          <w:lang w:val="es"/>
        </w:rPr>
      </w:pPr>
      <w:r w:rsidRPr="00D5352C">
        <w:rPr>
          <w:rFonts w:ascii="Calibri" w:hAnsi="Calibri" w:cs="Calibri"/>
          <w:sz w:val="22"/>
          <w:lang w:val="es"/>
        </w:rPr>
        <w:t>Los desechos de tipo RPMI una vez identificados se clasifican de la siguiente manera:</w:t>
      </w:r>
    </w:p>
    <w:tbl>
      <w:tblPr>
        <w:tblStyle w:val="Tablaconcuadrcula"/>
        <w:tblW w:w="9807" w:type="dxa"/>
        <w:tblLook w:val="04A0" w:firstRow="1" w:lastRow="0" w:firstColumn="1" w:lastColumn="0" w:noHBand="0" w:noVBand="1"/>
      </w:tblPr>
      <w:tblGrid>
        <w:gridCol w:w="2110"/>
        <w:gridCol w:w="1905"/>
        <w:gridCol w:w="2047"/>
        <w:gridCol w:w="1489"/>
        <w:gridCol w:w="2256"/>
      </w:tblGrid>
      <w:tr w:rsidR="006B2A9A" w:rsidRPr="00D5352C" w:rsidTr="00D5352C">
        <w:trPr>
          <w:trHeight w:val="426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Tipo de Residuos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Estado Físico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Envasado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  <w:r w:rsidRPr="00D5352C">
              <w:rPr>
                <w:rFonts w:ascii="Calibri" w:hAnsi="Calibri" w:cs="Calibri"/>
                <w:b/>
                <w:lang w:val="es"/>
              </w:rPr>
              <w:t>Color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s"/>
              </w:rPr>
            </w:pPr>
          </w:p>
        </w:tc>
      </w:tr>
      <w:tr w:rsidR="006B2A9A" w:rsidRPr="00D5352C" w:rsidTr="00D5352C">
        <w:trPr>
          <w:trHeight w:val="825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Sangre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Liquido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hermético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/>
                <w:noProof/>
                <w:lang w:eastAsia="es-MX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41856" behindDoc="0" locked="0" layoutInCell="1" allowOverlap="1" wp14:anchorId="1FE213BF" wp14:editId="3F1C39B7">
                  <wp:simplePos x="0" y="0"/>
                  <wp:positionH relativeFrom="column">
                    <wp:posOffset>392212</wp:posOffset>
                  </wp:positionH>
                  <wp:positionV relativeFrom="paragraph">
                    <wp:posOffset>68750</wp:posOffset>
                  </wp:positionV>
                  <wp:extent cx="313899" cy="387030"/>
                  <wp:effectExtent l="0" t="0" r="0" b="0"/>
                  <wp:wrapNone/>
                  <wp:docPr id="24" name="Imagen 24" descr="Resultado de imagen para Recipiente hermÃ©tic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Recipiente hermÃ©tic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313899" cy="38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1139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Cultivos y cepas de agentes infecciosos.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Solido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Bolsa de polietileno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45952" behindDoc="0" locked="0" layoutInCell="1" allowOverlap="1" wp14:anchorId="38DEE537" wp14:editId="5A0C509C">
                  <wp:simplePos x="0" y="0"/>
                  <wp:positionH relativeFrom="column">
                    <wp:posOffset>331044</wp:posOffset>
                  </wp:positionH>
                  <wp:positionV relativeFrom="page">
                    <wp:posOffset>103088</wp:posOffset>
                  </wp:positionV>
                  <wp:extent cx="484496" cy="484496"/>
                  <wp:effectExtent l="0" t="0" r="0" b="0"/>
                  <wp:wrapNone/>
                  <wp:docPr id="26" name="Imagen 26" descr="Resultado de imagen para Bolsa de polietilen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Bolsa de polietilen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488378" cy="488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8"/>
        </w:trPr>
        <w:tc>
          <w:tcPr>
            <w:tcW w:w="2110" w:type="dxa"/>
            <w:vMerge w:val="restart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Anatómicos (patológicos)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Solido 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Bolsa de polietileno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AMARILLO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50048" behindDoc="0" locked="0" layoutInCell="1" allowOverlap="1" wp14:anchorId="257D6483" wp14:editId="5685C862">
                  <wp:simplePos x="0" y="0"/>
                  <wp:positionH relativeFrom="column">
                    <wp:posOffset>350814</wp:posOffset>
                  </wp:positionH>
                  <wp:positionV relativeFrom="page">
                    <wp:posOffset>15875</wp:posOffset>
                  </wp:positionV>
                  <wp:extent cx="464024" cy="464024"/>
                  <wp:effectExtent l="0" t="0" r="0" b="0"/>
                  <wp:wrapNone/>
                  <wp:docPr id="27" name="Imagen 27" descr="Resultado de imagen para Bolsa de polietileno amari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Bolsa de polietileno amaril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24" cy="46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7"/>
        </w:trPr>
        <w:tc>
          <w:tcPr>
            <w:tcW w:w="2110" w:type="dxa"/>
            <w:vMerge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Liquido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hermético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AMARILLO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54144" behindDoc="0" locked="0" layoutInCell="1" allowOverlap="1" wp14:anchorId="65654CCA" wp14:editId="7A3FBE84">
                  <wp:simplePos x="0" y="0"/>
                  <wp:positionH relativeFrom="column">
                    <wp:posOffset>426028</wp:posOffset>
                  </wp:positionH>
                  <wp:positionV relativeFrom="page">
                    <wp:posOffset>50657</wp:posOffset>
                  </wp:positionV>
                  <wp:extent cx="252483" cy="391269"/>
                  <wp:effectExtent l="0" t="0" r="0" b="8890"/>
                  <wp:wrapNone/>
                  <wp:docPr id="21" name="Imagen 21" descr="Resultado de imagen para Recipiente hermÃ©tico amari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Recipiente hermÃ©tico amaril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83" cy="39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8"/>
        </w:trPr>
        <w:tc>
          <w:tcPr>
            <w:tcW w:w="2110" w:type="dxa"/>
            <w:vMerge w:val="restart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Residuos no anatómicos* 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Solido 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Bolsa de polietileno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58240" behindDoc="0" locked="0" layoutInCell="1" allowOverlap="1" wp14:anchorId="7A7CC5AF" wp14:editId="1FB8D4F8">
                  <wp:simplePos x="0" y="0"/>
                  <wp:positionH relativeFrom="column">
                    <wp:posOffset>323102</wp:posOffset>
                  </wp:positionH>
                  <wp:positionV relativeFrom="page">
                    <wp:posOffset>29836</wp:posOffset>
                  </wp:positionV>
                  <wp:extent cx="484496" cy="484496"/>
                  <wp:effectExtent l="0" t="0" r="0" b="0"/>
                  <wp:wrapNone/>
                  <wp:docPr id="22" name="Imagen 22" descr="Resultado de imagen para Bolsa de polietilen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Bolsa de polietilen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484496" cy="484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297"/>
        </w:trPr>
        <w:tc>
          <w:tcPr>
            <w:tcW w:w="2110" w:type="dxa"/>
            <w:vMerge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Liquido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hermético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62336" behindDoc="0" locked="0" layoutInCell="1" allowOverlap="1" wp14:anchorId="10CEF474" wp14:editId="6E84CF1E">
                  <wp:simplePos x="0" y="0"/>
                  <wp:positionH relativeFrom="column">
                    <wp:posOffset>391340</wp:posOffset>
                  </wp:positionH>
                  <wp:positionV relativeFrom="paragraph">
                    <wp:posOffset>57766</wp:posOffset>
                  </wp:positionV>
                  <wp:extent cx="313899" cy="387030"/>
                  <wp:effectExtent l="0" t="0" r="0" b="0"/>
                  <wp:wrapNone/>
                  <wp:docPr id="23" name="Imagen 23" descr="Resultado de imagen para Recipiente hermÃ©tico ro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Recipiente hermÃ©tico ro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313899" cy="38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D5352C">
        <w:trPr>
          <w:trHeight w:val="825"/>
        </w:trPr>
        <w:tc>
          <w:tcPr>
            <w:tcW w:w="2110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 xml:space="preserve">**Objetos punzo-cortantes </w:t>
            </w:r>
          </w:p>
        </w:tc>
        <w:tc>
          <w:tcPr>
            <w:tcW w:w="1905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Solido</w:t>
            </w:r>
          </w:p>
        </w:tc>
        <w:tc>
          <w:tcPr>
            <w:tcW w:w="2047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Recipiente rígido de polipropileno</w:t>
            </w:r>
          </w:p>
        </w:tc>
        <w:tc>
          <w:tcPr>
            <w:tcW w:w="1489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 w:cs="Calibri"/>
                <w:lang w:val="es"/>
              </w:rPr>
              <w:t>ROJO</w:t>
            </w:r>
          </w:p>
        </w:tc>
        <w:tc>
          <w:tcPr>
            <w:tcW w:w="2256" w:type="dxa"/>
          </w:tcPr>
          <w:p w:rsidR="006B2A9A" w:rsidRPr="00D5352C" w:rsidRDefault="006B2A9A" w:rsidP="003635FC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s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drawing>
                <wp:anchor distT="0" distB="0" distL="114300" distR="114300" simplePos="0" relativeHeight="251666432" behindDoc="0" locked="0" layoutInCell="1" allowOverlap="1" wp14:anchorId="780AAEF3" wp14:editId="4CE6A6A0">
                  <wp:simplePos x="0" y="0"/>
                  <wp:positionH relativeFrom="column">
                    <wp:posOffset>262805</wp:posOffset>
                  </wp:positionH>
                  <wp:positionV relativeFrom="page">
                    <wp:posOffset>15619</wp:posOffset>
                  </wp:positionV>
                  <wp:extent cx="610406" cy="457200"/>
                  <wp:effectExtent l="0" t="0" r="0" b="0"/>
                  <wp:wrapNone/>
                  <wp:docPr id="25" name="Imagen 2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825" cy="461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2A9A" w:rsidRPr="00D5352C" w:rsidTr="006B2A9A">
        <w:trPr>
          <w:trHeight w:val="1732"/>
        </w:trPr>
        <w:tc>
          <w:tcPr>
            <w:tcW w:w="9807" w:type="dxa"/>
            <w:gridSpan w:val="5"/>
          </w:tcPr>
          <w:p w:rsidR="006B2A9A" w:rsidRPr="00D5352C" w:rsidRDefault="006B2A9A" w:rsidP="00D5352C">
            <w:pPr>
              <w:autoSpaceDE w:val="0"/>
              <w:autoSpaceDN w:val="0"/>
              <w:adjustRightInd w:val="0"/>
              <w:jc w:val="both"/>
              <w:rPr>
                <w:rFonts w:ascii="Calibri" w:hAnsi="Calibri"/>
                <w:noProof/>
                <w:lang w:eastAsia="es-MX"/>
              </w:rPr>
            </w:pPr>
            <w:r w:rsidRPr="00D5352C">
              <w:rPr>
                <w:rFonts w:ascii="Calibri" w:hAnsi="Calibri"/>
                <w:noProof/>
                <w:lang w:eastAsia="es-MX"/>
              </w:rPr>
              <w:t xml:space="preserve">*Nota: *los residuos </w:t>
            </w:r>
            <w:r w:rsidRPr="00D5352C">
              <w:rPr>
                <w:rFonts w:ascii="Calibri" w:hAnsi="Calibri" w:cs="Calibri"/>
                <w:lang w:val="es"/>
              </w:rPr>
              <w:t>no anatómicos hace referencia a materiales usados para el</w:t>
            </w:r>
            <w:r w:rsidR="00D5352C" w:rsidRPr="00D5352C">
              <w:rPr>
                <w:rFonts w:ascii="Calibri" w:hAnsi="Calibri" w:cs="Calibri"/>
                <w:lang w:val="es"/>
              </w:rPr>
              <w:t xml:space="preserve"> cultivo de agentes infecciosos;</w:t>
            </w:r>
            <w:r w:rsidRPr="00D5352C">
              <w:rPr>
                <w:rFonts w:ascii="Calibri" w:hAnsi="Calibri" w:cs="Calibri"/>
                <w:lang w:val="es"/>
              </w:rPr>
              <w:t xml:space="preserve"> material absorbente </w:t>
            </w:r>
            <w:r w:rsidR="00D5352C" w:rsidRPr="00D5352C">
              <w:rPr>
                <w:rFonts w:ascii="Calibri" w:hAnsi="Calibri" w:cs="Calibri"/>
                <w:lang w:val="es"/>
              </w:rPr>
              <w:t>utilizado</w:t>
            </w:r>
            <w:r w:rsidRPr="00D5352C">
              <w:rPr>
                <w:rFonts w:ascii="Calibri" w:hAnsi="Calibri" w:cs="Calibri"/>
                <w:lang w:val="es"/>
              </w:rPr>
              <w:t xml:space="preserve"> en las jaulas de animales que hayan sido expuestos a agentes </w:t>
            </w:r>
            <w:proofErr w:type="spellStart"/>
            <w:r w:rsidRPr="00D5352C">
              <w:rPr>
                <w:rFonts w:ascii="Calibri" w:hAnsi="Calibri" w:cs="Calibri"/>
                <w:lang w:val="es"/>
              </w:rPr>
              <w:t>enteropatógenos</w:t>
            </w:r>
            <w:proofErr w:type="spellEnd"/>
            <w:r w:rsidRPr="00D5352C">
              <w:rPr>
                <w:rFonts w:ascii="Calibri" w:hAnsi="Calibri" w:cs="Calibri"/>
                <w:lang w:val="es"/>
              </w:rPr>
              <w:t>. **L</w:t>
            </w:r>
            <w:r w:rsidRPr="00D5352C">
              <w:rPr>
                <w:rFonts w:ascii="Calibri" w:hAnsi="Calibri"/>
                <w:noProof/>
                <w:lang w:eastAsia="es-MX"/>
              </w:rPr>
              <w:t>as puntas para micropipetas y agujas son consideradas punzo-cortantes. El material de vidrio roto, utilizado en el laboratorio, se deberá desinfectar o esterilizar para ser dispuesto como basura municipal.</w:t>
            </w:r>
          </w:p>
        </w:tc>
      </w:tr>
    </w:tbl>
    <w:p w:rsidR="006B2A9A" w:rsidRDefault="006B2A9A" w:rsidP="006B2A9A">
      <w:pPr>
        <w:autoSpaceDE w:val="0"/>
        <w:autoSpaceDN w:val="0"/>
        <w:adjustRightInd w:val="0"/>
        <w:jc w:val="both"/>
        <w:rPr>
          <w:rFonts w:ascii="Calibri" w:hAnsi="Calibri" w:cs="Calibri"/>
          <w:lang w:val="es"/>
        </w:rPr>
      </w:pPr>
    </w:p>
    <w:p w:rsidR="006B2A9A" w:rsidRPr="00D5352C" w:rsidRDefault="006B2A9A" w:rsidP="006B2A9A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/>
          <w:sz w:val="22"/>
          <w:lang w:val="es"/>
        </w:rPr>
      </w:pPr>
      <w:r w:rsidRPr="00D5352C">
        <w:rPr>
          <w:rFonts w:ascii="Calibri" w:hAnsi="Calibri" w:cs="Calibri"/>
          <w:sz w:val="22"/>
          <w:lang w:val="es"/>
        </w:rPr>
        <w:lastRenderedPageBreak/>
        <w:t xml:space="preserve">Los residuos especiales al ser materiales de curación o desechables que no haya entrado en contacto agentes infecciosos, no hay una normatividad tan estricta como con los residuos RPMI, estos materiales se desechan en una bolsa transparente y el bote es identificado como </w:t>
      </w:r>
      <w:r w:rsidRPr="00D5352C">
        <w:rPr>
          <w:rFonts w:ascii="Calibri" w:hAnsi="Calibri"/>
          <w:sz w:val="22"/>
          <w:lang w:val="es"/>
        </w:rPr>
        <w:t>"</w:t>
      </w:r>
      <w:r w:rsidRPr="00D5352C">
        <w:rPr>
          <w:rFonts w:ascii="Calibri" w:hAnsi="Calibri" w:cs="Calibri"/>
          <w:sz w:val="22"/>
          <w:lang w:val="es"/>
        </w:rPr>
        <w:t>Residuos Especiales</w:t>
      </w:r>
      <w:r w:rsidRPr="00D5352C">
        <w:rPr>
          <w:rFonts w:ascii="Calibri" w:hAnsi="Calibri"/>
          <w:sz w:val="22"/>
          <w:lang w:val="es"/>
        </w:rPr>
        <w:t>"</w:t>
      </w:r>
      <w:r w:rsidRPr="00D5352C">
        <w:rPr>
          <w:rFonts w:ascii="Calibri" w:hAnsi="Calibri" w:cs="Calibri"/>
          <w:sz w:val="22"/>
          <w:lang w:val="es"/>
        </w:rPr>
        <w:t xml:space="preserve">. </w:t>
      </w:r>
    </w:p>
    <w:p w:rsidR="006B2A9A" w:rsidRPr="00653B3F" w:rsidRDefault="006B2A9A" w:rsidP="006B2A9A">
      <w:pPr>
        <w:pStyle w:val="Prrafodelista"/>
        <w:autoSpaceDE w:val="0"/>
        <w:autoSpaceDN w:val="0"/>
        <w:adjustRightInd w:val="0"/>
        <w:spacing w:after="200" w:line="276" w:lineRule="auto"/>
        <w:jc w:val="both"/>
        <w:rPr>
          <w:lang w:val="es"/>
        </w:rPr>
      </w:pPr>
    </w:p>
    <w:p w:rsidR="006B2A9A" w:rsidRDefault="006B2A9A" w:rsidP="00D5352C">
      <w:pPr>
        <w:pStyle w:val="Prrafodelista"/>
        <w:numPr>
          <w:ilvl w:val="0"/>
          <w:numId w:val="45"/>
        </w:numPr>
        <w:autoSpaceDE w:val="0"/>
        <w:autoSpaceDN w:val="0"/>
        <w:adjustRightInd w:val="0"/>
        <w:jc w:val="both"/>
        <w:rPr>
          <w:rFonts w:ascii="Calibri" w:hAnsi="Calibri"/>
          <w:b/>
          <w:sz w:val="22"/>
          <w:lang w:val="es"/>
        </w:rPr>
      </w:pPr>
      <w:r w:rsidRPr="00D5352C">
        <w:rPr>
          <w:rFonts w:ascii="Calibri" w:hAnsi="Calibri"/>
          <w:b/>
          <w:sz w:val="22"/>
          <w:lang w:val="es"/>
        </w:rPr>
        <w:t>Disposición Final</w:t>
      </w:r>
    </w:p>
    <w:p w:rsidR="00D5352C" w:rsidRPr="00D5352C" w:rsidRDefault="00D5352C" w:rsidP="00D5352C">
      <w:pPr>
        <w:pStyle w:val="Prrafodelista"/>
        <w:autoSpaceDE w:val="0"/>
        <w:autoSpaceDN w:val="0"/>
        <w:adjustRightInd w:val="0"/>
        <w:jc w:val="both"/>
        <w:rPr>
          <w:rFonts w:ascii="Calibri" w:hAnsi="Calibri"/>
          <w:b/>
          <w:sz w:val="22"/>
          <w:lang w:val="es"/>
        </w:rPr>
      </w:pPr>
    </w:p>
    <w:p w:rsidR="006B2A9A" w:rsidRDefault="006B2A9A" w:rsidP="006B2A9A">
      <w:pPr>
        <w:autoSpaceDE w:val="0"/>
        <w:autoSpaceDN w:val="0"/>
        <w:adjustRightInd w:val="0"/>
        <w:jc w:val="both"/>
        <w:rPr>
          <w:lang w:val="es"/>
        </w:rPr>
      </w:pPr>
      <w:r>
        <w:rPr>
          <w:lang w:val="es"/>
        </w:rPr>
        <w:t>Este último paso se realiza en el HIMFG por el personal de RPBI, que todos los días se encarga de recolectar los Residuos Biológico-Infecciosos, los Residuos Especiales y la basura municipal</w:t>
      </w:r>
      <w:r w:rsidRPr="00653B3F">
        <w:rPr>
          <w:lang w:val="es"/>
        </w:rPr>
        <w:t>.</w:t>
      </w:r>
      <w:r>
        <w:rPr>
          <w:lang w:val="es"/>
        </w:rPr>
        <w:t xml:space="preserve">  Estos desechos son transportados en contenedores específicos cerrados herméticamente y que cuentan </w:t>
      </w:r>
      <w:r w:rsidRPr="005745F8">
        <w:rPr>
          <w:lang w:val="es"/>
        </w:rPr>
        <w:t>con sistemas de captación de escurrimientos</w:t>
      </w:r>
      <w:r>
        <w:rPr>
          <w:lang w:val="es"/>
        </w:rPr>
        <w:t xml:space="preserve"> y</w:t>
      </w:r>
      <w:r w:rsidR="00D5352C">
        <w:rPr>
          <w:lang w:val="es"/>
        </w:rPr>
        <w:t xml:space="preserve"> que </w:t>
      </w:r>
      <w:bookmarkStart w:id="0" w:name="_GoBack"/>
      <w:bookmarkEnd w:id="0"/>
      <w:r w:rsidRPr="00653B3F">
        <w:rPr>
          <w:lang w:val="es"/>
        </w:rPr>
        <w:t>no constituyen riesgo adicional</w:t>
      </w:r>
      <w:r>
        <w:rPr>
          <w:lang w:val="es"/>
        </w:rPr>
        <w:t xml:space="preserve"> </w:t>
      </w:r>
      <w:r w:rsidRPr="00653B3F">
        <w:rPr>
          <w:lang w:val="es"/>
        </w:rPr>
        <w:t>de contaminación</w:t>
      </w:r>
      <w:r>
        <w:rPr>
          <w:lang w:val="es"/>
        </w:rPr>
        <w:t xml:space="preserve"> al personal</w:t>
      </w:r>
      <w:r w:rsidRPr="00653B3F">
        <w:rPr>
          <w:lang w:val="es"/>
        </w:rPr>
        <w:t xml:space="preserve"> </w:t>
      </w:r>
      <w:r>
        <w:rPr>
          <w:lang w:val="es"/>
        </w:rPr>
        <w:t>con e</w:t>
      </w:r>
      <w:r w:rsidRPr="00653B3F">
        <w:rPr>
          <w:lang w:val="es"/>
        </w:rPr>
        <w:t>l uso simultáneo de los elevadores</w:t>
      </w:r>
      <w:r>
        <w:rPr>
          <w:lang w:val="es"/>
        </w:rPr>
        <w:t>, uso de los pasillos o</w:t>
      </w:r>
      <w:r w:rsidRPr="00653B3F">
        <w:rPr>
          <w:lang w:val="es"/>
        </w:rPr>
        <w:t xml:space="preserve"> incluso de anaqueles móviles para el transporte de los alimentos</w:t>
      </w:r>
      <w:r>
        <w:rPr>
          <w:lang w:val="es"/>
        </w:rPr>
        <w:t>.</w:t>
      </w:r>
      <w:r w:rsidRPr="00413329">
        <w:t xml:space="preserve"> </w:t>
      </w:r>
      <w:r w:rsidRPr="00413329">
        <w:rPr>
          <w:lang w:val="es"/>
        </w:rPr>
        <w:t>Sin embargo, existe un problema estético y de percepción de la calidad del servicio</w:t>
      </w:r>
      <w:r>
        <w:rPr>
          <w:lang w:val="es"/>
        </w:rPr>
        <w:t>, por parte de los usuarios,</w:t>
      </w:r>
      <w:r w:rsidRPr="00413329">
        <w:rPr>
          <w:lang w:val="es"/>
        </w:rPr>
        <w:t xml:space="preserve"> por lo que se aconseja establecer horarios diferentes.</w:t>
      </w:r>
    </w:p>
    <w:p w:rsidR="006B2A9A" w:rsidRDefault="006B2A9A" w:rsidP="006B2A9A">
      <w:pPr>
        <w:autoSpaceDE w:val="0"/>
        <w:autoSpaceDN w:val="0"/>
        <w:adjustRightInd w:val="0"/>
        <w:jc w:val="both"/>
        <w:rPr>
          <w:lang w:val="es"/>
        </w:rPr>
      </w:pPr>
      <w:r w:rsidRPr="00413329">
        <w:rPr>
          <w:lang w:val="es"/>
        </w:rPr>
        <w:t xml:space="preserve">Aun cuando en la Norma actual no se da las especificaciones para llevar a cabo </w:t>
      </w:r>
      <w:r>
        <w:rPr>
          <w:lang w:val="es"/>
        </w:rPr>
        <w:t>la recolección</w:t>
      </w:r>
      <w:r w:rsidRPr="00413329">
        <w:rPr>
          <w:lang w:val="es"/>
        </w:rPr>
        <w:t>, es necesario mencionar algunas consideraciones importantes</w:t>
      </w:r>
      <w:r>
        <w:rPr>
          <w:lang w:val="es"/>
        </w:rPr>
        <w:t>,</w:t>
      </w:r>
      <w:r w:rsidRPr="00413329">
        <w:rPr>
          <w:lang w:val="es"/>
        </w:rPr>
        <w:t xml:space="preserve"> para hacer la recolección de los RPBI de manera segura, dentro del establecimiento generador.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La recolección interna deberá realizarse tantas veces como sea necesario durante el día, según el volumen de producción de estos residuos.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Las bolsas de recolección no deben de  llenarse más de un 80 por ciento de su capacidad.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No se deben comprimir las bolsas.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Cerrar las bolsas con un mecanismo de amarre seguro que evite que los residuos salgan (nudo o cinta adhesiva).</w:t>
      </w:r>
    </w:p>
    <w:p w:rsidR="006B2A9A" w:rsidRPr="00114478" w:rsidRDefault="006B2A9A" w:rsidP="006B2A9A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sz w:val="22"/>
          <w:lang w:val="es"/>
        </w:rPr>
      </w:pPr>
      <w:r w:rsidRPr="00114478">
        <w:rPr>
          <w:sz w:val="22"/>
          <w:lang w:val="es"/>
        </w:rPr>
        <w:t>Verificar que los contenedores estén bien cerrados y una vez llenos, no deben ser abiertos o vaciados.</w:t>
      </w:r>
    </w:p>
    <w:p w:rsidR="00CC09EE" w:rsidRPr="00D5352C" w:rsidRDefault="006B2A9A" w:rsidP="00B27B4C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lang w:val="es-ES"/>
        </w:rPr>
      </w:pPr>
      <w:r w:rsidRPr="00D5352C">
        <w:rPr>
          <w:sz w:val="22"/>
          <w:lang w:val="es"/>
        </w:rPr>
        <w:t>La basura común (bolsa gris) se colocará en botes o bolsas de plástico de cualquier color excepto roja o amarilla.</w:t>
      </w:r>
    </w:p>
    <w:sectPr w:rsidR="00CC09EE" w:rsidRPr="00D5352C" w:rsidSect="00BE64FB">
      <w:headerReference w:type="even" r:id="rId14"/>
      <w:headerReference w:type="default" r:id="rId15"/>
      <w:headerReference w:type="first" r:id="rId16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5C8" w:rsidRDefault="001E45C8" w:rsidP="00534404">
      <w:pPr>
        <w:spacing w:after="0" w:line="240" w:lineRule="auto"/>
      </w:pPr>
      <w:r>
        <w:separator/>
      </w:r>
    </w:p>
  </w:endnote>
  <w:endnote w:type="continuationSeparator" w:id="0">
    <w:p w:rsidR="001E45C8" w:rsidRDefault="001E45C8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riad Pro">
    <w:charset w:val="00"/>
    <w:family w:val="auto"/>
    <w:pitch w:val="variable"/>
    <w:sig w:usb0="20000287" w:usb1="00000001" w:usb2="00000000" w:usb3="00000000" w:csb0="0000019F" w:csb1="00000000"/>
  </w:font>
  <w:font w:name="GillSans"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5C8" w:rsidRDefault="001E45C8" w:rsidP="00534404">
      <w:pPr>
        <w:spacing w:after="0" w:line="240" w:lineRule="auto"/>
      </w:pPr>
      <w:r>
        <w:separator/>
      </w:r>
    </w:p>
  </w:footnote>
  <w:footnote w:type="continuationSeparator" w:id="0">
    <w:p w:rsidR="001E45C8" w:rsidRDefault="001E45C8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00" w:rsidRDefault="00D5352C">
    <w:pPr>
      <w:pStyle w:val="Encabezado"/>
    </w:pPr>
    <w:r>
      <w:rPr>
        <w:noProof/>
        <w:lang w:eastAsia="es-ES"/>
      </w:rPr>
      <w:pict w14:anchorId="414571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11" type="#_x0000_t75" style="position:absolute;margin-left:0;margin-top:0;width:398.35pt;height:398.35pt;z-index:-251554304;mso-position-horizontal:center;mso-position-horizontal-relative:margin;mso-position-vertical:center;mso-position-vertical-relative:margin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:rsidTr="00D311E5">
      <w:tc>
        <w:tcPr>
          <w:tcW w:w="3686" w:type="dxa"/>
        </w:tcPr>
        <w:p w:rsidR="00C64C00" w:rsidRPr="00964B0F" w:rsidRDefault="00C64C00" w:rsidP="00844183">
          <w:pPr>
            <w:pStyle w:val="Encabezado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01CE5A16" wp14:editId="6462BE0E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670" w:type="dxa"/>
        </w:tcPr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3B22048B" wp14:editId="231510BB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7B6802">
          <w:pPr>
            <w:pStyle w:val="Encabezado"/>
            <w:rPr>
              <w:rFonts w:ascii="Arial" w:hAnsi="Arial" w:cs="Arial"/>
              <w:color w:val="595959"/>
              <w:sz w:val="16"/>
              <w:szCs w:val="16"/>
            </w:rPr>
          </w:pPr>
        </w:p>
        <w:p w:rsidR="00C64C00" w:rsidRPr="00964B0F" w:rsidRDefault="00C64C00" w:rsidP="00BE64FB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D311E5">
          <w:pPr>
            <w:pStyle w:val="Encabezado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:rsidR="00C64C00" w:rsidRPr="00964B0F" w:rsidRDefault="00D5352C" w:rsidP="001C1FCC">
          <w:pPr>
            <w:pStyle w:val="Encabezado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20106D8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0" type="#_x0000_t75" style="position:absolute;left:0;text-align:left;margin-left:0;margin-top:0;width:398.35pt;height:398.35pt;z-index:-251555328;mso-position-horizontal:center;mso-position-horizontal-relative:margin;mso-position-vertical:center;mso-position-vertical-relative:margin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aconcuadrcula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:rsidTr="007B6802">
      <w:trPr>
        <w:trHeight w:val="669"/>
      </w:trPr>
      <w:tc>
        <w:tcPr>
          <w:tcW w:w="3621" w:type="dxa"/>
          <w:vMerge w:val="restart"/>
        </w:tcPr>
        <w:p w:rsidR="00C64C00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:rsidR="00C64C00" w:rsidRPr="00964B0F" w:rsidRDefault="00C64C00" w:rsidP="007B6802">
          <w:pPr>
            <w:pStyle w:val="Encabezado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E00B09" w:rsidRDefault="006B2A9A" w:rsidP="007B6802">
          <w:pPr>
            <w:pStyle w:val="Encabezado"/>
            <w:jc w:val="center"/>
            <w:rPr>
              <w:rFonts w:ascii="Arial" w:hAnsi="Arial" w:cs="Arial"/>
              <w:color w:val="595959"/>
            </w:rPr>
          </w:pPr>
          <w:r>
            <w:rPr>
              <w:rFonts w:ascii="Arial" w:hAnsi="Arial" w:cs="Arial"/>
              <w:color w:val="595959"/>
            </w:rPr>
            <w:t>Manual de RPMI y Residuos Especiales</w:t>
          </w:r>
        </w:p>
      </w:tc>
      <w:tc>
        <w:tcPr>
          <w:tcW w:w="1810" w:type="dxa"/>
          <w:vMerge w:val="restart"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C64C00" w:rsidRPr="00964B0F" w:rsidTr="007B6802">
      <w:trPr>
        <w:trHeight w:val="669"/>
      </w:trPr>
      <w:tc>
        <w:tcPr>
          <w:tcW w:w="3621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964B0F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 w:rsidRPr="00964B0F">
            <w:rPr>
              <w:rFonts w:ascii="Arial" w:hAnsi="Arial" w:cs="Arial"/>
              <w:color w:val="595959"/>
              <w:sz w:val="20"/>
              <w:szCs w:val="20"/>
            </w:rPr>
            <w:t>LABORATORIO DE INVESTIGACIÓN EN INMUNOLOGÍA Y PROTEÓMICA</w:t>
          </w:r>
        </w:p>
      </w:tc>
      <w:tc>
        <w:tcPr>
          <w:tcW w:w="1810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:rsidTr="007B6802">
      <w:trPr>
        <w:trHeight w:val="717"/>
      </w:trPr>
      <w:tc>
        <w:tcPr>
          <w:tcW w:w="3621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:rsidR="00C64C00" w:rsidRPr="00E00B09" w:rsidRDefault="00C64C00" w:rsidP="006B2A9A">
          <w:pPr>
            <w:pStyle w:val="Encabezado"/>
            <w:rPr>
              <w:rFonts w:ascii="Arial" w:hAnsi="Arial" w:cs="Arial"/>
              <w:color w:val="595959"/>
              <w:sz w:val="18"/>
              <w:szCs w:val="18"/>
            </w:rPr>
          </w:pPr>
        </w:p>
        <w:p w:rsidR="00C64C00" w:rsidRPr="00964B0F" w:rsidRDefault="006B2A9A" w:rsidP="007E78BB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>HIM-LIIP-PT</w:t>
          </w:r>
        </w:p>
      </w:tc>
      <w:tc>
        <w:tcPr>
          <w:tcW w:w="1810" w:type="dxa"/>
          <w:vMerge/>
        </w:tcPr>
        <w:p w:rsidR="00C64C00" w:rsidRPr="00964B0F" w:rsidRDefault="00C64C00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:rsidR="00C64C00" w:rsidRPr="00E00B09" w:rsidRDefault="00C64C00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:rsidR="00C64C00" w:rsidRPr="00E00B09" w:rsidRDefault="005F774E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D5352C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SECTIONPAGES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D5352C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</w:p>
      </w:tc>
    </w:tr>
  </w:tbl>
  <w:p w:rsidR="00C64C00" w:rsidRPr="00964B0F" w:rsidRDefault="00C64C00" w:rsidP="007B6802">
    <w:pPr>
      <w:pStyle w:val="Encabezado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:rsidR="00C64C00" w:rsidRPr="00964B0F" w:rsidRDefault="00C64C00" w:rsidP="008D4A1F">
    <w:pPr>
      <w:pStyle w:val="Encabezado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C00" w:rsidRDefault="00D5352C">
    <w:pPr>
      <w:pStyle w:val="Encabezado"/>
    </w:pPr>
    <w:r>
      <w:rPr>
        <w:noProof/>
        <w:lang w:eastAsia="es-ES"/>
      </w:rPr>
      <w:pict w14:anchorId="3145A1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09" type="#_x0000_t75" style="position:absolute;margin-left:0;margin-top:0;width:398.35pt;height:398.35pt;z-index:-251556352;mso-position-horizontal:center;mso-position-horizontal-relative:margin;mso-position-vertical:center;mso-position-vertical-relative:margin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B560D"/>
    <w:multiLevelType w:val="hybridMultilevel"/>
    <w:tmpl w:val="85848ED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6F01BE"/>
    <w:multiLevelType w:val="hybridMultilevel"/>
    <w:tmpl w:val="F7F0475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7D3AA4"/>
    <w:multiLevelType w:val="hybridMultilevel"/>
    <w:tmpl w:val="ECD2EDD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 w15:restartNumberingAfterBreak="0">
    <w:nsid w:val="260B2261"/>
    <w:multiLevelType w:val="hybridMultilevel"/>
    <w:tmpl w:val="C0B80B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2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880799"/>
    <w:multiLevelType w:val="hybridMultilevel"/>
    <w:tmpl w:val="67A4916E"/>
    <w:lvl w:ilvl="0" w:tplc="CB423BDA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7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CF57AA"/>
    <w:multiLevelType w:val="hybridMultilevel"/>
    <w:tmpl w:val="992EEC8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22083E"/>
    <w:multiLevelType w:val="hybridMultilevel"/>
    <w:tmpl w:val="E3A852FA"/>
    <w:lvl w:ilvl="0" w:tplc="D904017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4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1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</w:num>
  <w:num w:numId="4">
    <w:abstractNumId w:val="0"/>
  </w:num>
  <w:num w:numId="5">
    <w:abstractNumId w:val="21"/>
  </w:num>
  <w:num w:numId="6">
    <w:abstractNumId w:val="4"/>
  </w:num>
  <w:num w:numId="7">
    <w:abstractNumId w:val="9"/>
  </w:num>
  <w:num w:numId="8">
    <w:abstractNumId w:val="38"/>
  </w:num>
  <w:num w:numId="9">
    <w:abstractNumId w:val="36"/>
  </w:num>
  <w:num w:numId="10">
    <w:abstractNumId w:val="33"/>
  </w:num>
  <w:num w:numId="11">
    <w:abstractNumId w:val="32"/>
  </w:num>
  <w:num w:numId="12">
    <w:abstractNumId w:val="28"/>
  </w:num>
  <w:num w:numId="13">
    <w:abstractNumId w:val="6"/>
  </w:num>
  <w:num w:numId="14">
    <w:abstractNumId w:val="3"/>
  </w:num>
  <w:num w:numId="15">
    <w:abstractNumId w:val="2"/>
  </w:num>
  <w:num w:numId="16">
    <w:abstractNumId w:val="43"/>
  </w:num>
  <w:num w:numId="17">
    <w:abstractNumId w:val="22"/>
  </w:num>
  <w:num w:numId="18">
    <w:abstractNumId w:val="11"/>
  </w:num>
  <w:num w:numId="19">
    <w:abstractNumId w:val="24"/>
  </w:num>
  <w:num w:numId="20">
    <w:abstractNumId w:val="1"/>
  </w:num>
  <w:num w:numId="21">
    <w:abstractNumId w:val="34"/>
  </w:num>
  <w:num w:numId="22">
    <w:abstractNumId w:val="44"/>
  </w:num>
  <w:num w:numId="23">
    <w:abstractNumId w:val="5"/>
  </w:num>
  <w:num w:numId="24">
    <w:abstractNumId w:val="14"/>
  </w:num>
  <w:num w:numId="25">
    <w:abstractNumId w:val="27"/>
  </w:num>
  <w:num w:numId="26">
    <w:abstractNumId w:val="26"/>
  </w:num>
  <w:num w:numId="27">
    <w:abstractNumId w:val="16"/>
  </w:num>
  <w:num w:numId="28">
    <w:abstractNumId w:val="30"/>
  </w:num>
  <w:num w:numId="29">
    <w:abstractNumId w:val="8"/>
  </w:num>
  <w:num w:numId="30">
    <w:abstractNumId w:val="17"/>
  </w:num>
  <w:num w:numId="31">
    <w:abstractNumId w:val="39"/>
  </w:num>
  <w:num w:numId="32">
    <w:abstractNumId w:val="41"/>
  </w:num>
  <w:num w:numId="33">
    <w:abstractNumId w:val="42"/>
  </w:num>
  <w:num w:numId="34">
    <w:abstractNumId w:val="7"/>
  </w:num>
  <w:num w:numId="35">
    <w:abstractNumId w:val="10"/>
  </w:num>
  <w:num w:numId="36">
    <w:abstractNumId w:val="19"/>
  </w:num>
  <w:num w:numId="37">
    <w:abstractNumId w:val="35"/>
  </w:num>
  <w:num w:numId="38">
    <w:abstractNumId w:val="40"/>
  </w:num>
  <w:num w:numId="39">
    <w:abstractNumId w:val="13"/>
  </w:num>
  <w:num w:numId="40">
    <w:abstractNumId w:val="12"/>
  </w:num>
  <w:num w:numId="41">
    <w:abstractNumId w:val="15"/>
  </w:num>
  <w:num w:numId="42">
    <w:abstractNumId w:val="20"/>
  </w:num>
  <w:num w:numId="43">
    <w:abstractNumId w:val="31"/>
  </w:num>
  <w:num w:numId="44">
    <w:abstractNumId w:val="18"/>
  </w:num>
  <w:num w:numId="4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11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338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45C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B2A9A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4A7E"/>
    <w:rsid w:val="007D6E35"/>
    <w:rsid w:val="007D73B2"/>
    <w:rsid w:val="007E1435"/>
    <w:rsid w:val="007E5B98"/>
    <w:rsid w:val="007E78BB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18F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2E3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A1632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1C42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52C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C2338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44E2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2"/>
    <o:shapelayout v:ext="edit">
      <o:idmap v:ext="edit" data="1"/>
    </o:shapelayout>
  </w:shapeDefaults>
  <w:decimalSymbol w:val="."/>
  <w:listSeparator w:val=","/>
  <w15:docId w15:val="{FC73D848-56B6-4681-AC35-8CC25A1F9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04"/>
  </w:style>
  <w:style w:type="paragraph" w:styleId="Piedepgina">
    <w:name w:val="footer"/>
    <w:basedOn w:val="Normal"/>
    <w:link w:val="PiedepginaC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04"/>
  </w:style>
  <w:style w:type="paragraph" w:styleId="Textodeglobo">
    <w:name w:val="Balloon Text"/>
    <w:basedOn w:val="Normal"/>
    <w:link w:val="TextodegloboC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ipervnculo">
    <w:name w:val="Hyperlink"/>
    <w:unhideWhenUsed/>
    <w:rsid w:val="00355D83"/>
    <w:rPr>
      <w:color w:val="0000FF"/>
      <w:u w:val="single"/>
    </w:rPr>
  </w:style>
  <w:style w:type="character" w:styleId="Textoennegrita">
    <w:name w:val="Strong"/>
    <w:uiPriority w:val="22"/>
    <w:qFormat/>
    <w:rsid w:val="00D57FED"/>
    <w:rPr>
      <w:b/>
      <w:bCs/>
    </w:rPr>
  </w:style>
  <w:style w:type="paragraph" w:styleId="Prrafodelista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Sinespaciado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Ttulo3Car">
    <w:name w:val="Título 3 Car"/>
    <w:link w:val="Ttulo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Ttulo6Car">
    <w:name w:val="Título 6 Car"/>
    <w:link w:val="Ttulo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Textoindependiente">
    <w:name w:val="Body Text"/>
    <w:basedOn w:val="Normal"/>
    <w:link w:val="TextoindependienteC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B57E20"/>
  </w:style>
  <w:style w:type="paragraph" w:customStyle="1" w:styleId="Direccindelremitente">
    <w:name w:val="Dirección del remitente"/>
    <w:basedOn w:val="Sinespaciado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Fuentedeprrafopredeter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aconvietas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Textodebloque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D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aconvietas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Fuentedeprrafopredeter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D6D1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styleId="Tabladecuadrcula7concolores-nfasis5">
    <w:name w:val="Grid Table 7 Colorful Accent 5"/>
    <w:basedOn w:val="Tabla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wnloads\protocolos%20(1)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72AF4-3493-4CFB-A20E-BA0726872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protocolos (1)</Template>
  <TotalTime>15</TotalTime>
  <Pages>4</Pages>
  <Words>1002</Words>
  <Characters>5513</Characters>
  <Application>Microsoft Office Word</Application>
  <DocSecurity>0</DocSecurity>
  <Lines>45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6502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Administrator</cp:lastModifiedBy>
  <cp:revision>4</cp:revision>
  <cp:lastPrinted>2016-12-01T16:04:00Z</cp:lastPrinted>
  <dcterms:created xsi:type="dcterms:W3CDTF">2016-12-02T21:22:00Z</dcterms:created>
  <dcterms:modified xsi:type="dcterms:W3CDTF">2018-05-07T17:35:00Z</dcterms:modified>
</cp:coreProperties>
</file>