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200"/>
      </w:pPr>
    </w:p>
    <w:p>
      <w:pPr>
        <w:spacing w:after="60"/>
        <w:jc w:val="center"/>
      </w:pPr>
      <w:r>
        <w:rPr>
          <w:b/>
          <w:bCs/>
          <w:color w:val="2E75B6"/>
          <w:spacing w:val="60"/>
          <w:sz w:val="26"/>
          <w:szCs w:val="26"/>
        </w:rPr>
        <w:t xml:space="preserve">JADE BUSINESS SOLUTIONS</w:t>
      </w:r>
    </w:p>
    <w:p>
      <w:pPr>
        <w:spacing w:after="200"/>
        <w:jc w:val="center"/>
      </w:pPr>
      <w:r>
        <w:rPr>
          <w:b/>
          <w:bCs/>
          <w:color w:val="1F4E79"/>
          <w:sz w:val="76"/>
          <w:szCs w:val="76"/>
        </w:rPr>
        <w:t xml:space="preserve">JBSIntelliQE</w:t>
      </w:r>
    </w:p>
    <w:p>
      <w:pPr>
        <w:spacing w:after="120"/>
        <w:jc w:val="center"/>
      </w:pPr>
      <w:r>
        <w:rPr>
          <w:b/>
          <w:bCs/>
          <w:color w:val="333333"/>
          <w:sz w:val="40"/>
          <w:szCs w:val="40"/>
        </w:rPr>
        <w:t xml:space="preserve">Platform Architecture &amp; Data Model</w:t>
      </w:r>
    </w:p>
    <w:p>
      <w:pPr>
        <w:spacing w:after="60"/>
        <w:jc w:val="center"/>
      </w:pPr>
      <w:r>
        <w:rPr>
          <w:i/>
          <w:iCs/>
          <w:color w:val="55636E"/>
          <w:sz w:val="26"/>
          <w:szCs w:val="26"/>
        </w:rPr>
        <w:t xml:space="preserve">A Leadership Overview</w:t>
      </w:r>
    </w:p>
    <w:p>
      <w:pPr>
        <w:spacing w:after="400"/>
      </w:pPr>
    </w:p>
    <w:p>
      <w:pPr>
        <w:jc w:val="center"/>
      </w:pPr>
      <w:r>
        <w:rPr>
          <w:color w:val="55636E"/>
          <w:sz w:val="22"/>
          <w:szCs w:val="22"/>
        </w:rPr>
        <w:t xml:space="preserve">AI-Powered QA Automation Platform</w:t>
      </w:r>
    </w:p>
    <w:p>
      <w:pPr>
        <w:spacing w:before="40"/>
        <w:jc w:val="center"/>
      </w:pPr>
      <w:r>
        <w:rPr>
          <w:color w:val="55636E"/>
          <w:sz w:val="20"/>
          <w:szCs w:val="20"/>
        </w:rPr>
        <w:t xml:space="preserve">Prepared June 2026  ·  Confidential</w:t>
      </w:r>
    </w:p>
    <w:p>
      <w:r>
        <w:br w:type="page"/>
      </w:r>
    </w:p>
    <w:p>
      <w:pPr>
        <w:pStyle w:val="Heading1"/>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Executive Summary</w:t>
      </w:r>
    </w:p>
    <w:p>
      <w:pPr>
        <w:spacing w:after="120"/>
      </w:pPr>
      <w:r>
        <w:rPr>
          <w:b/>
          <w:bCs/>
          <w:sz w:val="22"/>
          <w:szCs w:val="22"/>
        </w:rPr>
        <w:t xml:space="preserve">JBSIntelliQE</w:t>
      </w:r>
      <w:r>
        <w:rPr>
          <w:sz w:val="22"/>
          <w:szCs w:val="22"/>
        </w:rPr>
        <w:t xml:space="preserve"> is Jade Business Solutions’ AI-powered quality-assurance platform. It uses a team of Claude AI agents to automatically read software requirements, design test cases, write automated test scripts, run them, and even repair tests when they break — work that traditionally requires a team of manual QA engineers.</w:t>
      </w:r>
    </w:p>
    <w:p>
      <w:pPr>
        <w:spacing w:after="120"/>
      </w:pPr>
      <w:r>
        <w:rPr>
          <w:sz w:val="22"/>
          <w:szCs w:val="22"/>
        </w:rPr>
        <w:t xml:space="preserve">The platform is </w:t>
      </w:r>
      <w:r>
        <w:rPr>
          <w:b/>
          <w:bCs/>
          <w:sz w:val="22"/>
          <w:szCs w:val="22"/>
        </w:rPr>
        <w:t xml:space="preserve">multi-tenant</w:t>
      </w:r>
      <w:r>
        <w:rPr>
          <w:sz w:val="22"/>
          <w:szCs w:val="22"/>
        </w:rPr>
        <w:t xml:space="preserve">: a single deployment serves many customer organizations, with each customer’s data fully isolated from every other. This document explains, in plain terms, the building blocks of the platform and the database that underpins it, and includes a one-page visual map (Entity-Relationship diagram) of how the data fits together.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FFFFFF" w:sz="1"/>
              <w:left w:val="single" w:color="FFFFFF" w:sz="1"/>
              <w:bottom w:val="single" w:color="FFFFFF" w:sz="1"/>
              <w:right w:val="single" w:color="FFFFFF" w:sz="1"/>
            </w:tcBorders>
            <w:shd w:fill="D6E4F0" w:val="clear"/>
            <w:tcMar>
              <w:top w:type="dxa" w:w="160"/>
              <w:left w:type="dxa" w:w="120"/>
              <w:bottom w:type="dxa" w:w="160"/>
              <w:right w:type="dxa" w:w="120"/>
            </w:tcMar>
            <w:vAlign w:val="center"/>
          </w:tcPr>
          <w:p>
            <w:pPr>
              <w:jc w:val="center"/>
            </w:pPr>
            <w:r>
              <w:rPr>
                <w:b/>
                <w:bCs/>
                <w:color w:val="1F4E79"/>
                <w:sz w:val="56"/>
                <w:szCs w:val="56"/>
              </w:rPr>
              <w:t xml:space="preserve">3</w:t>
            </w:r>
          </w:p>
          <w:p>
            <w:pPr>
              <w:jc w:val="center"/>
            </w:pPr>
            <w:r>
              <w:rPr>
                <w:color w:val="333333"/>
                <w:sz w:val="18"/>
                <w:szCs w:val="18"/>
              </w:rPr>
              <w:t xml:space="preserve">Runtime services</w:t>
            </w:r>
          </w:p>
          <w:p>
            <w:pPr>
              <w:jc w:val="center"/>
            </w:pPr>
            <w:r>
              <w:rPr>
                <w:color w:val="333333"/>
                <w:sz w:val="18"/>
                <w:szCs w:val="18"/>
              </w:rPr>
              <w:t xml:space="preserve">(API, Worker, Web app)</w:t>
            </w:r>
          </w:p>
        </w:tc>
        <w:tc>
          <w:tcPr>
            <w:tcW w:type="dxa" w:w="3120"/>
            <w:tcBorders>
              <w:top w:val="single" w:color="FFFFFF" w:sz="1"/>
              <w:left w:val="single" w:color="FFFFFF" w:sz="1"/>
              <w:bottom w:val="single" w:color="FFFFFF" w:sz="1"/>
              <w:right w:val="single" w:color="FFFFFF" w:sz="1"/>
            </w:tcBorders>
            <w:shd w:fill="D6E4F0" w:val="clear"/>
            <w:tcMar>
              <w:top w:type="dxa" w:w="160"/>
              <w:left w:type="dxa" w:w="120"/>
              <w:bottom w:type="dxa" w:w="160"/>
              <w:right w:type="dxa" w:w="120"/>
            </w:tcMar>
            <w:vAlign w:val="center"/>
          </w:tcPr>
          <w:p>
            <w:pPr>
              <w:jc w:val="center"/>
            </w:pPr>
            <w:r>
              <w:rPr>
                <w:b/>
                <w:bCs/>
                <w:color w:val="1F4E79"/>
                <w:sz w:val="56"/>
                <w:szCs w:val="56"/>
              </w:rPr>
              <w:t xml:space="preserve">22</w:t>
            </w:r>
          </w:p>
          <w:p>
            <w:pPr>
              <w:jc w:val="center"/>
            </w:pPr>
            <w:r>
              <w:rPr>
                <w:color w:val="333333"/>
                <w:sz w:val="18"/>
                <w:szCs w:val="18"/>
              </w:rPr>
              <w:t xml:space="preserve">Database tables</w:t>
            </w:r>
          </w:p>
          <w:p>
            <w:pPr>
              <w:jc w:val="center"/>
            </w:pPr>
            <w:r>
              <w:rPr>
                <w:color w:val="333333"/>
                <w:sz w:val="18"/>
                <w:szCs w:val="18"/>
              </w:rPr>
              <w:t xml:space="preserve">in 7 groups</w:t>
            </w:r>
          </w:p>
        </w:tc>
        <w:tc>
          <w:tcPr>
            <w:tcW w:type="dxa" w:w="3120"/>
            <w:tcBorders>
              <w:top w:val="single" w:color="FFFFFF" w:sz="1"/>
              <w:left w:val="single" w:color="FFFFFF" w:sz="1"/>
              <w:bottom w:val="single" w:color="FFFFFF" w:sz="1"/>
              <w:right w:val="single" w:color="FFFFFF" w:sz="1"/>
            </w:tcBorders>
            <w:shd w:fill="D6E4F0" w:val="clear"/>
            <w:tcMar>
              <w:top w:type="dxa" w:w="160"/>
              <w:left w:type="dxa" w:w="120"/>
              <w:bottom w:type="dxa" w:w="160"/>
              <w:right w:type="dxa" w:w="120"/>
            </w:tcMar>
            <w:vAlign w:val="center"/>
          </w:tcPr>
          <w:p>
            <w:pPr>
              <w:jc w:val="center"/>
            </w:pPr>
            <w:r>
              <w:rPr>
                <w:b/>
                <w:bCs/>
                <w:color w:val="1F4E79"/>
                <w:sz w:val="56"/>
                <w:szCs w:val="56"/>
              </w:rPr>
              <w:t xml:space="preserve">6</w:t>
            </w:r>
          </w:p>
          <w:p>
            <w:pPr>
              <w:jc w:val="center"/>
            </w:pPr>
            <w:r>
              <w:rPr>
                <w:color w:val="333333"/>
                <w:sz w:val="18"/>
                <w:szCs w:val="18"/>
              </w:rPr>
              <w:t xml:space="preserve">Specialised AI agents</w:t>
            </w:r>
          </w:p>
          <w:p>
            <w:pPr>
              <w:jc w:val="center"/>
            </w:pPr>
            <w:r>
              <w:rPr>
                <w:color w:val="333333"/>
                <w:sz w:val="18"/>
                <w:szCs w:val="18"/>
              </w:rPr>
              <w:t xml:space="preserve">in the pipeline</w:t>
            </w:r>
          </w:p>
        </w:tc>
      </w:tr>
    </w:tbl>
    <w:p>
      <w:pPr>
        <w:pStyle w:val="Heading1"/>
      </w:pPr>
      <w:r>
        <w:t xml:space="preserve">2.  What the Platform Does</w:t>
      </w:r>
    </w:p>
    <w:p>
      <w:pPr>
        <w:spacing w:after="120"/>
      </w:pPr>
      <w:r>
        <w:rPr>
          <w:sz w:val="22"/>
          <w:szCs w:val="22"/>
        </w:rPr>
        <w:t xml:space="preserve">In everyday language, the platform turns a written requirement into working, self-maintaining automated tests:</w:t>
      </w:r>
    </w:p>
    <w:p>
      <w:pPr>
        <w:pStyle w:val="ListParagraph"/>
        <w:numPr>
          <w:ilvl w:val="0"/>
          <w:numId w:val="2"/>
        </w:numPr>
        <w:spacing w:after="60"/>
      </w:pPr>
      <w:r>
        <w:rPr>
          <w:b/>
          <w:bCs/>
          <w:sz w:val="22"/>
          <w:szCs w:val="22"/>
        </w:rPr>
        <w:t xml:space="preserve">Understands the application </w:t>
      </w:r>
      <w:r>
        <w:rPr>
          <w:sz w:val="22"/>
          <w:szCs w:val="22"/>
        </w:rPr>
        <w:t xml:space="preserve">— an AI agent explores the live web app to learn how each page works.</w:t>
      </w:r>
    </w:p>
    <w:p>
      <w:pPr>
        <w:pStyle w:val="ListParagraph"/>
        <w:numPr>
          <w:ilvl w:val="0"/>
          <w:numId w:val="2"/>
        </w:numPr>
        <w:spacing w:after="60"/>
      </w:pPr>
      <w:r>
        <w:rPr>
          <w:b/>
          <w:bCs/>
          <w:sz w:val="22"/>
          <w:szCs w:val="22"/>
        </w:rPr>
        <w:t xml:space="preserve">Plans the testing </w:t>
      </w:r>
      <w:r>
        <w:rPr>
          <w:sz w:val="22"/>
          <w:szCs w:val="22"/>
        </w:rPr>
        <w:t xml:space="preserve">— it designs a comprehensive set of test cases covering the feature.</w:t>
      </w:r>
    </w:p>
    <w:p>
      <w:pPr>
        <w:pStyle w:val="ListParagraph"/>
        <w:numPr>
          <w:ilvl w:val="0"/>
          <w:numId w:val="2"/>
        </w:numPr>
        <w:spacing w:after="60"/>
      </w:pPr>
      <w:r>
        <w:rPr>
          <w:b/>
          <w:bCs/>
          <w:sz w:val="22"/>
          <w:szCs w:val="22"/>
        </w:rPr>
        <w:t xml:space="preserve">Writes the automation </w:t>
      </w:r>
      <w:r>
        <w:rPr>
          <w:sz w:val="22"/>
          <w:szCs w:val="22"/>
        </w:rPr>
        <w:t xml:space="preserve">— it generates ready-to-run Playwright test scripts.</w:t>
      </w:r>
    </w:p>
    <w:p>
      <w:pPr>
        <w:pStyle w:val="ListParagraph"/>
        <w:numPr>
          <w:ilvl w:val="0"/>
          <w:numId w:val="2"/>
        </w:numPr>
        <w:spacing w:after="60"/>
      </w:pPr>
      <w:r>
        <w:rPr>
          <w:b/>
          <w:bCs/>
          <w:sz w:val="22"/>
          <w:szCs w:val="22"/>
        </w:rPr>
        <w:t xml:space="preserve">Runs and reports </w:t>
      </w:r>
      <w:r>
        <w:rPr>
          <w:sz w:val="22"/>
          <w:szCs w:val="22"/>
        </w:rPr>
        <w:t xml:space="preserve">— it executes the tests and produces reports and email notifications.</w:t>
      </w:r>
    </w:p>
    <w:p>
      <w:pPr>
        <w:pStyle w:val="ListParagraph"/>
        <w:numPr>
          <w:ilvl w:val="0"/>
          <w:numId w:val="2"/>
        </w:numPr>
        <w:spacing w:after="60"/>
      </w:pPr>
      <w:r>
        <w:rPr>
          <w:b/>
          <w:bCs/>
          <w:sz w:val="22"/>
          <w:szCs w:val="22"/>
        </w:rPr>
        <w:t xml:space="preserve">Heals itself </w:t>
      </w:r>
      <w:r>
        <w:rPr>
          <w:sz w:val="22"/>
          <w:szCs w:val="22"/>
        </w:rPr>
        <w:t xml:space="preserve">— when a test fails because the app changed, an agent diagnoses and fixes it.</w:t>
      </w:r>
    </w:p>
    <w:p>
      <w:pPr>
        <w:pStyle w:val="ListParagraph"/>
        <w:numPr>
          <w:ilvl w:val="0"/>
          <w:numId w:val="2"/>
        </w:numPr>
        <w:spacing w:after="60"/>
      </w:pPr>
      <w:r>
        <w:rPr>
          <w:b/>
          <w:bCs/>
          <w:sz w:val="22"/>
          <w:szCs w:val="22"/>
        </w:rPr>
        <w:t xml:space="preserve">Keeps an audit trail </w:t>
      </w:r>
      <w:r>
        <w:rPr>
          <w:sz w:val="22"/>
          <w:szCs w:val="22"/>
        </w:rPr>
        <w:t xml:space="preserve">— every action is logged for compliance and traceability.</w:t>
      </w:r>
    </w:p>
    <w:p>
      <w:pPr>
        <w:pStyle w:val="Heading1"/>
      </w:pPr>
      <w:r>
        <w:t xml:space="preserve">3.  How the System Is Built</w:t>
      </w:r>
    </w:p>
    <w:p>
      <w:pPr>
        <w:spacing w:after="120"/>
      </w:pPr>
      <w:r>
        <w:rPr>
          <w:sz w:val="22"/>
          <w:szCs w:val="22"/>
        </w:rPr>
        <w:t xml:space="preserve">The platform is organised into three cooperating services that share one database: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160"/>
        <w:gridCol w:w="2800"/>
      </w:tblGrid>
      <w:tr>
        <w:trPr>
          <w:tblHeader/>
        </w:trPr>
        <w:tc>
          <w:tcPr>
            <w:tcW w:type="dxa" w:w="2400"/>
            <w:tcBorders>
              <w:top w:val="single" w:color="FFFFFF" w:sz="1"/>
              <w:left w:val="single" w:color="FFFFFF" w:sz="1"/>
              <w:bottom w:val="single" w:color="FFFFFF" w:sz="1"/>
              <w:right w:val="single" w:color="FFFFFF" w:sz="1"/>
            </w:tcBorders>
            <w:shd w:fill="1F4E79" w:val="clear"/>
            <w:tcMar>
              <w:top w:type="dxa" w:w="90"/>
              <w:left w:type="dxa" w:w="130"/>
              <w:bottom w:type="dxa" w:w="90"/>
              <w:right w:type="dxa" w:w="130"/>
            </w:tcMar>
            <w:vAlign w:val="center"/>
          </w:tcPr>
          <w:p>
            <w:r>
              <w:rPr>
                <w:b/>
                <w:bCs/>
                <w:color w:val="FFFFFF"/>
                <w:sz w:val="19"/>
                <w:szCs w:val="19"/>
              </w:rPr>
              <w:t xml:space="preserve">Service</w:t>
            </w:r>
          </w:p>
        </w:tc>
        <w:tc>
          <w:tcPr>
            <w:tcW w:type="dxa" w:w="4160"/>
            <w:tcBorders>
              <w:top w:val="single" w:color="FFFFFF" w:sz="1"/>
              <w:left w:val="single" w:color="FFFFFF" w:sz="1"/>
              <w:bottom w:val="single" w:color="FFFFFF" w:sz="1"/>
              <w:right w:val="single" w:color="FFFFFF" w:sz="1"/>
            </w:tcBorders>
            <w:shd w:fill="1F4E79" w:val="clear"/>
            <w:tcMar>
              <w:top w:type="dxa" w:w="90"/>
              <w:left w:type="dxa" w:w="130"/>
              <w:bottom w:type="dxa" w:w="90"/>
              <w:right w:type="dxa" w:w="130"/>
            </w:tcMar>
            <w:vAlign w:val="center"/>
          </w:tcPr>
          <w:p>
            <w:r>
              <w:rPr>
                <w:b/>
                <w:bCs/>
                <w:color w:val="FFFFFF"/>
                <w:sz w:val="19"/>
                <w:szCs w:val="19"/>
              </w:rPr>
              <w:t xml:space="preserve">What it does</w:t>
            </w:r>
          </w:p>
        </w:tc>
        <w:tc>
          <w:tcPr>
            <w:tcW w:type="dxa" w:w="2800"/>
            <w:tcBorders>
              <w:top w:val="single" w:color="FFFFFF" w:sz="1"/>
              <w:left w:val="single" w:color="FFFFFF" w:sz="1"/>
              <w:bottom w:val="single" w:color="FFFFFF" w:sz="1"/>
              <w:right w:val="single" w:color="FFFFFF" w:sz="1"/>
            </w:tcBorders>
            <w:shd w:fill="1F4E79" w:val="clear"/>
            <w:tcMar>
              <w:top w:type="dxa" w:w="90"/>
              <w:left w:type="dxa" w:w="130"/>
              <w:bottom w:type="dxa" w:w="90"/>
              <w:right w:type="dxa" w:w="130"/>
            </w:tcMar>
            <w:vAlign w:val="center"/>
          </w:tcPr>
          <w:p>
            <w:r>
              <w:rPr>
                <w:b/>
                <w:bCs/>
                <w:color w:val="FFFFFF"/>
                <w:sz w:val="19"/>
                <w:szCs w:val="19"/>
              </w:rPr>
              <w:t xml:space="preserve">Technology</w:t>
            </w:r>
          </w:p>
        </w:tc>
      </w:tr>
      <w:tr>
        <w:tc>
          <w:tcPr>
            <w:tcW w:type="dxa" w:w="2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b/>
                <w:bCs/>
                <w:sz w:val="22"/>
                <w:szCs w:val="22"/>
              </w:rPr>
              <w:t xml:space="preserve">Web App (Frontend)</w:t>
            </w:r>
          </w:p>
        </w:tc>
        <w:tc>
          <w:tcPr>
            <w:tcW w:type="dxa" w:w="41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sz w:val="19"/>
                <w:szCs w:val="19"/>
              </w:rPr>
              <w:t xml:space="preserve">What users see and click — the chat wizard, dashboards, reports, and configuration screens.</w:t>
            </w:r>
          </w:p>
        </w:tc>
        <w:tc>
          <w:tcPr>
            <w:tcW w:type="dxa" w:w="2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sz w:val="19"/>
                <w:szCs w:val="19"/>
              </w:rPr>
              <w:t xml:space="preserve">React + Vite</w:t>
            </w:r>
          </w:p>
        </w:tc>
      </w:tr>
      <w:tr>
        <w:tc>
          <w:tcPr>
            <w:tcW w:type="dxa" w:w="2400"/>
            <w:tcBorders>
              <w:top w:val="single" w:color="CCCCCC" w:sz="1"/>
              <w:left w:val="single" w:color="CCCCCC" w:sz="1"/>
              <w:bottom w:val="single" w:color="CCCCCC" w:sz="1"/>
              <w:right w:val="single" w:color="CCCCCC" w:sz="1"/>
            </w:tcBorders>
            <w:shd w:fill="F2F6FB" w:val="clear"/>
            <w:tcMar>
              <w:top w:type="dxa" w:w="90"/>
              <w:left w:type="dxa" w:w="130"/>
              <w:bottom w:type="dxa" w:w="90"/>
              <w:right w:type="dxa" w:w="130"/>
            </w:tcMar>
            <w:vAlign w:val="center"/>
          </w:tcPr>
          <w:p>
            <w:r>
              <w:rPr>
                <w:b/>
                <w:bCs/>
                <w:sz w:val="22"/>
                <w:szCs w:val="22"/>
              </w:rPr>
              <w:t xml:space="preserve">API (Backend)</w:t>
            </w:r>
          </w:p>
        </w:tc>
        <w:tc>
          <w:tcPr>
            <w:tcW w:type="dxa" w:w="4160"/>
            <w:tcBorders>
              <w:top w:val="single" w:color="CCCCCC" w:sz="1"/>
              <w:left w:val="single" w:color="CCCCCC" w:sz="1"/>
              <w:bottom w:val="single" w:color="CCCCCC" w:sz="1"/>
              <w:right w:val="single" w:color="CCCCCC" w:sz="1"/>
            </w:tcBorders>
            <w:shd w:fill="F2F6FB" w:val="clear"/>
            <w:tcMar>
              <w:top w:type="dxa" w:w="90"/>
              <w:left w:type="dxa" w:w="130"/>
              <w:bottom w:type="dxa" w:w="90"/>
              <w:right w:type="dxa" w:w="130"/>
            </w:tcMar>
            <w:vAlign w:val="center"/>
          </w:tcPr>
          <w:p>
            <w:r>
              <w:rPr>
                <w:sz w:val="19"/>
                <w:szCs w:val="19"/>
              </w:rPr>
              <w:t xml:space="preserve">The brain of the system — handles logins, business rules, data, and coordinates the AI pipeline.</w:t>
            </w:r>
          </w:p>
        </w:tc>
        <w:tc>
          <w:tcPr>
            <w:tcW w:type="dxa" w:w="2800"/>
            <w:tcBorders>
              <w:top w:val="single" w:color="CCCCCC" w:sz="1"/>
              <w:left w:val="single" w:color="CCCCCC" w:sz="1"/>
              <w:bottom w:val="single" w:color="CCCCCC" w:sz="1"/>
              <w:right w:val="single" w:color="CCCCCC" w:sz="1"/>
            </w:tcBorders>
            <w:shd w:fill="F2F6FB" w:val="clear"/>
            <w:tcMar>
              <w:top w:type="dxa" w:w="90"/>
              <w:left w:type="dxa" w:w="130"/>
              <w:bottom w:type="dxa" w:w="90"/>
              <w:right w:type="dxa" w:w="130"/>
            </w:tcMar>
            <w:vAlign w:val="center"/>
          </w:tcPr>
          <w:p>
            <w:r>
              <w:rPr>
                <w:sz w:val="19"/>
                <w:szCs w:val="19"/>
              </w:rPr>
              <w:t xml:space="preserve">Node.js + Express</w:t>
            </w:r>
          </w:p>
        </w:tc>
      </w:tr>
      <w:tr>
        <w:tc>
          <w:tcPr>
            <w:tcW w:type="dxa" w:w="2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b/>
                <w:bCs/>
                <w:sz w:val="22"/>
                <w:szCs w:val="22"/>
              </w:rPr>
              <w:t xml:space="preserve">Worker(s)</w:t>
            </w:r>
          </w:p>
        </w:tc>
        <w:tc>
          <w:tcPr>
            <w:tcW w:type="dxa" w:w="41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sz w:val="19"/>
                <w:szCs w:val="19"/>
              </w:rPr>
              <w:t xml:space="preserve">Background engine(s) that run the heavy AI work by calling the Claude API, so the app stays responsive.</w:t>
            </w:r>
          </w:p>
        </w:tc>
        <w:tc>
          <w:tcPr>
            <w:tcW w:type="dxa" w:w="2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sz w:val="19"/>
                <w:szCs w:val="19"/>
              </w:rPr>
              <w:t xml:space="preserve">Node.js + Claude SDK</w:t>
            </w:r>
          </w:p>
        </w:tc>
      </w:tr>
    </w:tbl>
    <w:p>
      <w:pPr>
        <w:spacing w:after="60"/>
      </w:pPr>
    </w:p>
    <w:p>
      <w:pPr>
        <w:spacing w:after="120"/>
      </w:pPr>
      <w:r>
        <w:rPr>
          <w:sz w:val="22"/>
          <w:szCs w:val="22"/>
        </w:rPr>
        <w:t xml:space="preserve">Information flows in one direction and back: the </w:t>
      </w:r>
      <w:r>
        <w:rPr>
          <w:b/>
          <w:bCs/>
          <w:sz w:val="22"/>
          <w:szCs w:val="22"/>
        </w:rPr>
        <w:t xml:space="preserve">Web App</w:t>
      </w:r>
      <w:r>
        <w:rPr>
          <w:sz w:val="22"/>
          <w:szCs w:val="22"/>
        </w:rPr>
        <w:t xml:space="preserve"> talks to the </w:t>
      </w:r>
      <w:r>
        <w:rPr>
          <w:b/>
          <w:bCs/>
          <w:sz w:val="22"/>
          <w:szCs w:val="22"/>
        </w:rPr>
        <w:t xml:space="preserve">API</w:t>
      </w:r>
      <w:r>
        <w:rPr>
          <w:sz w:val="22"/>
          <w:szCs w:val="22"/>
        </w:rPr>
        <w:t xml:space="preserve">, which stores everything in </w:t>
      </w:r>
      <w:r>
        <w:rPr>
          <w:b/>
          <w:bCs/>
          <w:sz w:val="22"/>
          <w:szCs w:val="22"/>
        </w:rPr>
        <w:t xml:space="preserve">PostgreSQL</w:t>
      </w:r>
      <w:r>
        <w:rPr>
          <w:sz w:val="22"/>
          <w:szCs w:val="22"/>
        </w:rPr>
        <w:t xml:space="preserve"> and hands AI jobs to the </w:t>
      </w:r>
      <w:r>
        <w:rPr>
          <w:b/>
          <w:bCs/>
          <w:sz w:val="22"/>
          <w:szCs w:val="22"/>
        </w:rPr>
        <w:t xml:space="preserve">Worker</w:t>
      </w:r>
      <w:r>
        <w:rPr>
          <w:sz w:val="22"/>
          <w:szCs w:val="22"/>
        </w:rPr>
        <w:t xml:space="preserve">. Progress streams back to the user’s screen live as each stage completes.</w:t>
      </w:r>
    </w:p>
    <w:p>
      <w:pPr>
        <w:pStyle w:val="Heading2"/>
      </w:pPr>
      <w:r>
        <w:t xml:space="preserve">3.1  Component Inventory</w:t>
      </w:r>
    </w:p>
    <w:p>
      <w:pPr>
        <w:spacing w:after="120"/>
      </w:pPr>
      <w:r>
        <w:rPr>
          <w:sz w:val="22"/>
          <w:szCs w:val="22"/>
        </w:rPr>
        <w:t xml:space="preserve">The API is itself made of clearly separated parts. Leadership-level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50"/>
        <w:gridCol w:w="6810"/>
      </w:tblGrid>
      <w:tr>
        <w:trPr>
          <w:tblHeader/>
        </w:trPr>
        <w:tc>
          <w:tcPr>
            <w:tcW w:type="dxa" w:w="2550"/>
            <w:tcBorders>
              <w:top w:val="single" w:color="FFFFFF" w:sz="1"/>
              <w:left w:val="single" w:color="FFFFFF" w:sz="1"/>
              <w:bottom w:val="single" w:color="FFFFFF" w:sz="1"/>
              <w:right w:val="single" w:color="FFFFFF" w:sz="1"/>
            </w:tcBorders>
            <w:shd w:fill="1F4E79" w:val="clear"/>
            <w:tcMar>
              <w:top w:type="dxa" w:w="90"/>
              <w:left w:type="dxa" w:w="130"/>
              <w:bottom w:type="dxa" w:w="90"/>
              <w:right w:type="dxa" w:w="130"/>
            </w:tcMar>
            <w:vAlign w:val="center"/>
          </w:tcPr>
          <w:p>
            <w:r>
              <w:rPr>
                <w:b/>
                <w:bCs/>
                <w:color w:val="FFFFFF"/>
                <w:sz w:val="19"/>
                <w:szCs w:val="19"/>
              </w:rPr>
              <w:t xml:space="preserve">Building block</w:t>
            </w:r>
          </w:p>
        </w:tc>
        <w:tc>
          <w:tcPr>
            <w:tcW w:type="dxa" w:w="6810"/>
            <w:tcBorders>
              <w:top w:val="single" w:color="FFFFFF" w:sz="1"/>
              <w:left w:val="single" w:color="FFFFFF" w:sz="1"/>
              <w:bottom w:val="single" w:color="FFFFFF" w:sz="1"/>
              <w:right w:val="single" w:color="FFFFFF" w:sz="1"/>
            </w:tcBorders>
            <w:shd w:fill="1F4E79" w:val="clear"/>
            <w:tcMar>
              <w:top w:type="dxa" w:w="90"/>
              <w:left w:type="dxa" w:w="130"/>
              <w:bottom w:type="dxa" w:w="90"/>
              <w:right w:type="dxa" w:w="130"/>
            </w:tcMar>
            <w:vAlign w:val="center"/>
          </w:tcPr>
          <w:p>
            <w:r>
              <w:rPr>
                <w:b/>
                <w:bCs/>
                <w:color w:val="FFFFFF"/>
                <w:sz w:val="19"/>
                <w:szCs w:val="19"/>
              </w:rPr>
              <w:t xml:space="preserve">Responsibility</w:t>
            </w:r>
          </w:p>
        </w:tc>
      </w:tr>
      <w:tr>
        <w:tc>
          <w:tcPr>
            <w:tcW w:type="dxa" w:w="255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b/>
                <w:bCs/>
                <w:sz w:val="22"/>
                <w:szCs w:val="22"/>
              </w:rPr>
              <w:t xml:space="preserve">AI Agents</w:t>
            </w:r>
          </w:p>
        </w:tc>
        <w:tc>
          <w:tcPr>
            <w:tcW w:type="dxa" w:w="681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sz w:val="19"/>
                <w:szCs w:val="19"/>
              </w:rPr>
              <w:t xml:space="preserve">The six specialists: Requirements, Planner, Generator, Script-writer, Execution, and Healer — each a Claude agent with its own job.</w:t>
            </w:r>
          </w:p>
        </w:tc>
      </w:tr>
      <w:tr>
        <w:tc>
          <w:tcPr>
            <w:tcW w:type="dxa" w:w="2550"/>
            <w:tcBorders>
              <w:top w:val="single" w:color="CCCCCC" w:sz="1"/>
              <w:left w:val="single" w:color="CCCCCC" w:sz="1"/>
              <w:bottom w:val="single" w:color="CCCCCC" w:sz="1"/>
              <w:right w:val="single" w:color="CCCCCC" w:sz="1"/>
            </w:tcBorders>
            <w:shd w:fill="F2F6FB" w:val="clear"/>
            <w:tcMar>
              <w:top w:type="dxa" w:w="90"/>
              <w:left w:type="dxa" w:w="130"/>
              <w:bottom w:type="dxa" w:w="90"/>
              <w:right w:type="dxa" w:w="130"/>
            </w:tcMar>
            <w:vAlign w:val="center"/>
          </w:tcPr>
          <w:p>
            <w:r>
              <w:rPr>
                <w:b/>
                <w:bCs/>
                <w:sz w:val="22"/>
                <w:szCs w:val="22"/>
              </w:rPr>
              <w:t xml:space="preserve">Orchestrator</w:t>
            </w:r>
          </w:p>
        </w:tc>
        <w:tc>
          <w:tcPr>
            <w:tcW w:type="dxa" w:w="6810"/>
            <w:tcBorders>
              <w:top w:val="single" w:color="CCCCCC" w:sz="1"/>
              <w:left w:val="single" w:color="CCCCCC" w:sz="1"/>
              <w:bottom w:val="single" w:color="CCCCCC" w:sz="1"/>
              <w:right w:val="single" w:color="CCCCCC" w:sz="1"/>
            </w:tcBorders>
            <w:shd w:fill="F2F6FB" w:val="clear"/>
            <w:tcMar>
              <w:top w:type="dxa" w:w="90"/>
              <w:left w:type="dxa" w:w="130"/>
              <w:bottom w:type="dxa" w:w="90"/>
              <w:right w:type="dxa" w:w="130"/>
            </w:tcMar>
            <w:vAlign w:val="center"/>
          </w:tcPr>
          <w:p>
            <w:r>
              <w:rPr>
                <w:sz w:val="19"/>
                <w:szCs w:val="19"/>
              </w:rPr>
              <w:t xml:space="preserve">The conductor — decides which agent runs next, enforces budget caps and quality gates, prevents runaway loops.</w:t>
            </w:r>
          </w:p>
        </w:tc>
      </w:tr>
      <w:tr>
        <w:tc>
          <w:tcPr>
            <w:tcW w:type="dxa" w:w="255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b/>
                <w:bCs/>
                <w:sz w:val="22"/>
                <w:szCs w:val="22"/>
              </w:rPr>
              <w:t xml:space="preserve">Worker queue</w:t>
            </w:r>
          </w:p>
        </w:tc>
        <w:tc>
          <w:tcPr>
            <w:tcW w:type="dxa" w:w="681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sz w:val="19"/>
                <w:szCs w:val="19"/>
              </w:rPr>
              <w:t xml:space="preserve">A to-do list of AI jobs; workers pick up tasks, do them, and report back.</w:t>
            </w:r>
          </w:p>
        </w:tc>
      </w:tr>
      <w:tr>
        <w:tc>
          <w:tcPr>
            <w:tcW w:type="dxa" w:w="2550"/>
            <w:tcBorders>
              <w:top w:val="single" w:color="CCCCCC" w:sz="1"/>
              <w:left w:val="single" w:color="CCCCCC" w:sz="1"/>
              <w:bottom w:val="single" w:color="CCCCCC" w:sz="1"/>
              <w:right w:val="single" w:color="CCCCCC" w:sz="1"/>
            </w:tcBorders>
            <w:shd w:fill="F2F6FB" w:val="clear"/>
            <w:tcMar>
              <w:top w:type="dxa" w:w="90"/>
              <w:left w:type="dxa" w:w="130"/>
              <w:bottom w:type="dxa" w:w="90"/>
              <w:right w:type="dxa" w:w="130"/>
            </w:tcMar>
            <w:vAlign w:val="center"/>
          </w:tcPr>
          <w:p>
            <w:r>
              <w:rPr>
                <w:b/>
                <w:bCs/>
                <w:sz w:val="22"/>
                <w:szCs w:val="22"/>
              </w:rPr>
              <w:t xml:space="preserve">API Routes (22)</w:t>
            </w:r>
          </w:p>
        </w:tc>
        <w:tc>
          <w:tcPr>
            <w:tcW w:type="dxa" w:w="6810"/>
            <w:tcBorders>
              <w:top w:val="single" w:color="CCCCCC" w:sz="1"/>
              <w:left w:val="single" w:color="CCCCCC" w:sz="1"/>
              <w:bottom w:val="single" w:color="CCCCCC" w:sz="1"/>
              <w:right w:val="single" w:color="CCCCCC" w:sz="1"/>
            </w:tcBorders>
            <w:shd w:fill="F2F6FB" w:val="clear"/>
            <w:tcMar>
              <w:top w:type="dxa" w:w="90"/>
              <w:left w:type="dxa" w:w="130"/>
              <w:bottom w:type="dxa" w:w="90"/>
              <w:right w:type="dxa" w:w="130"/>
            </w:tcMar>
            <w:vAlign w:val="center"/>
          </w:tcPr>
          <w:p>
            <w:r>
              <w:rPr>
                <w:sz w:val="19"/>
                <w:szCs w:val="19"/>
              </w:rPr>
              <w:t xml:space="preserve">The doors into the system — chat, test cases, reports, integrations (Jira, Git, Confluence, SharePoint), user management, and more.</w:t>
            </w:r>
          </w:p>
        </w:tc>
      </w:tr>
      <w:tr>
        <w:tc>
          <w:tcPr>
            <w:tcW w:type="dxa" w:w="255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b/>
                <w:bCs/>
                <w:sz w:val="22"/>
                <w:szCs w:val="22"/>
              </w:rPr>
              <w:t xml:space="preserve">Services</w:t>
            </w:r>
          </w:p>
        </w:tc>
        <w:tc>
          <w:tcPr>
            <w:tcW w:type="dxa" w:w="681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sz w:val="19"/>
                <w:szCs w:val="19"/>
              </w:rPr>
              <w:t xml:space="preserve">Reusable helpers — test execution, email, reporting, integrations, real-time progress streaming.</w:t>
            </w:r>
          </w:p>
        </w:tc>
      </w:tr>
      <w:tr>
        <w:tc>
          <w:tcPr>
            <w:tcW w:type="dxa" w:w="2550"/>
            <w:tcBorders>
              <w:top w:val="single" w:color="CCCCCC" w:sz="1"/>
              <w:left w:val="single" w:color="CCCCCC" w:sz="1"/>
              <w:bottom w:val="single" w:color="CCCCCC" w:sz="1"/>
              <w:right w:val="single" w:color="CCCCCC" w:sz="1"/>
            </w:tcBorders>
            <w:shd w:fill="F2F6FB" w:val="clear"/>
            <w:tcMar>
              <w:top w:type="dxa" w:w="90"/>
              <w:left w:type="dxa" w:w="130"/>
              <w:bottom w:type="dxa" w:w="90"/>
              <w:right w:type="dxa" w:w="130"/>
            </w:tcMar>
            <w:vAlign w:val="center"/>
          </w:tcPr>
          <w:p>
            <w:r>
              <w:rPr>
                <w:b/>
                <w:bCs/>
                <w:sz w:val="22"/>
                <w:szCs w:val="22"/>
              </w:rPr>
              <w:t xml:space="preserve">Security layer</w:t>
            </w:r>
          </w:p>
        </w:tc>
        <w:tc>
          <w:tcPr>
            <w:tcW w:type="dxa" w:w="6810"/>
            <w:tcBorders>
              <w:top w:val="single" w:color="CCCCCC" w:sz="1"/>
              <w:left w:val="single" w:color="CCCCCC" w:sz="1"/>
              <w:bottom w:val="single" w:color="CCCCCC" w:sz="1"/>
              <w:right w:val="single" w:color="CCCCCC" w:sz="1"/>
            </w:tcBorders>
            <w:shd w:fill="F2F6FB" w:val="clear"/>
            <w:tcMar>
              <w:top w:type="dxa" w:w="90"/>
              <w:left w:type="dxa" w:w="130"/>
              <w:bottom w:type="dxa" w:w="90"/>
              <w:right w:type="dxa" w:w="130"/>
            </w:tcMar>
            <w:vAlign w:val="center"/>
          </w:tcPr>
          <w:p>
            <w:r>
              <w:rPr>
                <w:sz w:val="19"/>
                <w:szCs w:val="19"/>
              </w:rPr>
              <w:t xml:space="preserve">Login checks, role permissions, credential encryption, and the audit log.</w:t>
            </w:r>
          </w:p>
        </w:tc>
      </w:tr>
    </w:tbl>
    <w:p>
      <w:pPr>
        <w:pStyle w:val="Heading1"/>
      </w:pPr>
      <w:r>
        <w:t xml:space="preserve">4.  The Data Model at a Glance</w:t>
      </w:r>
    </w:p>
    <w:p>
      <w:pPr>
        <w:spacing w:after="120"/>
      </w:pPr>
      <w:r>
        <w:rPr>
          <w:sz w:val="22"/>
          <w:szCs w:val="22"/>
        </w:rPr>
        <w:t xml:space="preserve">The diagram on the next page is a visual map of the database. Each box is a table; the colour shows which group it belongs to; the connecting lines show how records relate (one record links to many). It is intended to be read top-to-bottom, left-to-right.</w:t>
      </w:r>
    </w:p>
    <w:p>
      <w:r>
        <w:br w:type="page"/>
      </w:r>
    </w:p>
    <w:p>
      <w:pPr>
        <w:sectPr>
          <w:footerReference w:type="default" r:id="rId7"/>
          <w:pgSz w:w="12240" w:h="15840" w:orient="portrait"/>
          <w:pgMar w:top="1440" w:right="1440" w:bottom="1440" w:left="1440" w:header="708" w:footer="708" w:gutter="0"/>
          <w:pgNumType/>
          <w:docGrid w:linePitch="360"/>
        </w:sectPr>
      </w:pPr>
    </w:p>
    <w:p>
      <w:pPr>
        <w:pStyle w:val="Heading1"/>
      </w:pPr>
      <w:r>
        <w:t xml:space="preserve">Entity-Relationship Diagram</w:t>
      </w:r>
    </w:p>
    <w:p>
      <w:pPr>
        <w:spacing w:after="120"/>
      </w:pPr>
      <w:r>
        <w:drawing>
          <wp:inline distT="0" distB="0" distL="0" distR="0">
            <wp:extent cx="11239500" cy="7496175"/>
            <wp:effectExtent t="0" r="0" b="0" l="0"/>
            <wp:docPr id="1" name="ERDiagram" descr="Entity relationship diagram of the 22 tables grouped into 7 functional areas" title="JBSTestOpsAI ER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1239500" cy="7496175"/>
                    </a:xfrm>
                    <a:prstGeom prst="rect">
                      <a:avLst/>
                    </a:prstGeom>
                  </pic:spPr>
                </pic:pic>
              </a:graphicData>
            </a:graphic>
          </wp:inline>
        </w:drawing>
      </w:r>
    </w:p>
    <w:p>
      <w:pPr>
        <w:sectPr>
          <w:footerReference w:type="default" r:id="rId8"/>
          <w:pgSz w:w="15840" w:h="12240" w:orient="landscape"/>
          <w:pgMar w:top="720" w:right="720" w:bottom="720" w:left="720" w:header="708" w:footer="708" w:gutter="0"/>
          <w:pgNumType/>
          <w:docGrid w:linePitch="360"/>
        </w:sectPr>
      </w:pPr>
    </w:p>
    <w:p>
      <w:pPr>
        <w:pStyle w:val="Heading1"/>
      </w:pPr>
      <w:r>
        <w:t xml:space="preserve">5.  Database Tables by Group</w:t>
      </w:r>
    </w:p>
    <w:p>
      <w:pPr>
        <w:spacing w:after="120"/>
      </w:pPr>
      <w:r>
        <w:rPr>
          <w:sz w:val="22"/>
          <w:szCs w:val="22"/>
        </w:rPr>
        <w:t xml:space="preserve">The 22 tables are organised into seven groups by purpose. This grouping is what makes the schema easy to reason about and to reuse for new customers.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900"/>
        <w:gridCol w:w="700"/>
        <w:gridCol w:w="4860"/>
      </w:tblGrid>
      <w:tr>
        <w:trPr>
          <w:tblHeader/>
        </w:trPr>
        <w:tc>
          <w:tcPr>
            <w:tcW w:type="dxa" w:w="900"/>
            <w:tcBorders>
              <w:top w:val="single" w:color="FFFFFF" w:sz="1"/>
              <w:left w:val="single" w:color="FFFFFF" w:sz="1"/>
              <w:bottom w:val="single" w:color="FFFFFF" w:sz="1"/>
              <w:right w:val="single" w:color="FFFFFF" w:sz="1"/>
            </w:tcBorders>
            <w:shd w:fill="1F4E79" w:val="clear"/>
            <w:tcMar>
              <w:top w:type="dxa" w:w="90"/>
              <w:left w:type="dxa" w:w="130"/>
              <w:bottom w:type="dxa" w:w="90"/>
              <w:right w:type="dxa" w:w="130"/>
            </w:tcMar>
            <w:vAlign w:val="center"/>
          </w:tcPr>
          <w:p>
            <w:r>
              <w:rPr>
                <w:b/>
                <w:bCs/>
                <w:color w:val="FFFFFF"/>
                <w:sz w:val="19"/>
                <w:szCs w:val="19"/>
              </w:rPr>
              <w:t xml:space="preserve">Grp</w:t>
            </w:r>
          </w:p>
        </w:tc>
        <w:tc>
          <w:tcPr>
            <w:tcW w:type="dxa" w:w="2900"/>
            <w:tcBorders>
              <w:top w:val="single" w:color="FFFFFF" w:sz="1"/>
              <w:left w:val="single" w:color="FFFFFF" w:sz="1"/>
              <w:bottom w:val="single" w:color="FFFFFF" w:sz="1"/>
              <w:right w:val="single" w:color="FFFFFF" w:sz="1"/>
            </w:tcBorders>
            <w:shd w:fill="1F4E79" w:val="clear"/>
            <w:tcMar>
              <w:top w:type="dxa" w:w="90"/>
              <w:left w:type="dxa" w:w="130"/>
              <w:bottom w:type="dxa" w:w="90"/>
              <w:right w:type="dxa" w:w="130"/>
            </w:tcMar>
            <w:vAlign w:val="center"/>
          </w:tcPr>
          <w:p>
            <w:r>
              <w:rPr>
                <w:b/>
                <w:bCs/>
                <w:color w:val="FFFFFF"/>
                <w:sz w:val="19"/>
                <w:szCs w:val="19"/>
              </w:rPr>
              <w:t xml:space="preserve">Group</w:t>
            </w:r>
          </w:p>
        </w:tc>
        <w:tc>
          <w:tcPr>
            <w:tcW w:type="dxa" w:w="700"/>
            <w:tcBorders>
              <w:top w:val="single" w:color="FFFFFF" w:sz="1"/>
              <w:left w:val="single" w:color="FFFFFF" w:sz="1"/>
              <w:bottom w:val="single" w:color="FFFFFF" w:sz="1"/>
              <w:right w:val="single" w:color="FFFFFF" w:sz="1"/>
            </w:tcBorders>
            <w:shd w:fill="1F4E79" w:val="clear"/>
            <w:tcMar>
              <w:top w:type="dxa" w:w="90"/>
              <w:left w:type="dxa" w:w="130"/>
              <w:bottom w:type="dxa" w:w="90"/>
              <w:right w:type="dxa" w:w="130"/>
            </w:tcMar>
            <w:vAlign w:val="center"/>
          </w:tcPr>
          <w:p>
            <w:r>
              <w:rPr>
                <w:b/>
                <w:bCs/>
                <w:color w:val="FFFFFF"/>
                <w:sz w:val="19"/>
                <w:szCs w:val="19"/>
              </w:rPr>
              <w:t xml:space="preserve">Tables</w:t>
            </w:r>
          </w:p>
        </w:tc>
        <w:tc>
          <w:tcPr>
            <w:tcW w:type="dxa" w:w="4860"/>
            <w:tcBorders>
              <w:top w:val="single" w:color="FFFFFF" w:sz="1"/>
              <w:left w:val="single" w:color="FFFFFF" w:sz="1"/>
              <w:bottom w:val="single" w:color="FFFFFF" w:sz="1"/>
              <w:right w:val="single" w:color="FFFFFF" w:sz="1"/>
            </w:tcBorders>
            <w:shd w:fill="1F4E79" w:val="clear"/>
            <w:tcMar>
              <w:top w:type="dxa" w:w="90"/>
              <w:left w:type="dxa" w:w="130"/>
              <w:bottom w:type="dxa" w:w="90"/>
              <w:right w:type="dxa" w:w="130"/>
            </w:tcMar>
            <w:vAlign w:val="center"/>
          </w:tcPr>
          <w:p>
            <w:r>
              <w:rPr>
                <w:b/>
                <w:bCs/>
                <w:color w:val="FFFFFF"/>
                <w:sz w:val="19"/>
                <w:szCs w:val="19"/>
              </w:rPr>
              <w:t xml:space="preserve">What it stores</w:t>
            </w:r>
          </w:p>
        </w:tc>
      </w:tr>
      <w:tr>
        <w:tc>
          <w:tcPr>
            <w:tcW w:type="dxa" w:w="9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sz w:val="19"/>
                <w:szCs w:val="19"/>
              </w:rPr>
              <w:t xml:space="preserve">A</w:t>
            </w:r>
          </w:p>
        </w:tc>
        <w:tc>
          <w:tcPr>
            <w:tcW w:type="dxa" w:w="29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b/>
                <w:bCs/>
                <w:sz w:val="22"/>
                <w:szCs w:val="22"/>
              </w:rPr>
              <w:t xml:space="preserve">Identity &amp; Tenancy</w:t>
            </w:r>
          </w:p>
        </w:tc>
        <w:tc>
          <w:tcPr>
            <w:tcW w:type="dxa" w:w="7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sz w:val="19"/>
                <w:szCs w:val="19"/>
              </w:rPr>
              <w:t xml:space="preserve">2</w:t>
            </w:r>
          </w:p>
        </w:tc>
        <w:tc>
          <w:tcPr>
            <w:tcW w:type="dxa" w:w="48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sz w:val="19"/>
                <w:szCs w:val="19"/>
              </w:rPr>
              <w:t xml:space="preserve">Customer organizations (tenants) and their users / roles.</w:t>
            </w:r>
          </w:p>
        </w:tc>
      </w:tr>
      <w:tr>
        <w:tc>
          <w:tcPr>
            <w:tcW w:type="dxa" w:w="900"/>
            <w:tcBorders>
              <w:top w:val="single" w:color="CCCCCC" w:sz="1"/>
              <w:left w:val="single" w:color="CCCCCC" w:sz="1"/>
              <w:bottom w:val="single" w:color="CCCCCC" w:sz="1"/>
              <w:right w:val="single" w:color="CCCCCC" w:sz="1"/>
            </w:tcBorders>
            <w:shd w:fill="F2F6FB" w:val="clear"/>
            <w:tcMar>
              <w:top w:type="dxa" w:w="90"/>
              <w:left w:type="dxa" w:w="130"/>
              <w:bottom w:type="dxa" w:w="90"/>
              <w:right w:type="dxa" w:w="130"/>
            </w:tcMar>
            <w:vAlign w:val="center"/>
          </w:tcPr>
          <w:p>
            <w:r>
              <w:rPr>
                <w:sz w:val="19"/>
                <w:szCs w:val="19"/>
              </w:rPr>
              <w:t xml:space="preserve">B</w:t>
            </w:r>
          </w:p>
        </w:tc>
        <w:tc>
          <w:tcPr>
            <w:tcW w:type="dxa" w:w="2900"/>
            <w:tcBorders>
              <w:top w:val="single" w:color="CCCCCC" w:sz="1"/>
              <w:left w:val="single" w:color="CCCCCC" w:sz="1"/>
              <w:bottom w:val="single" w:color="CCCCCC" w:sz="1"/>
              <w:right w:val="single" w:color="CCCCCC" w:sz="1"/>
            </w:tcBorders>
            <w:shd w:fill="F2F6FB" w:val="clear"/>
            <w:tcMar>
              <w:top w:type="dxa" w:w="90"/>
              <w:left w:type="dxa" w:w="130"/>
              <w:bottom w:type="dxa" w:w="90"/>
              <w:right w:type="dxa" w:w="130"/>
            </w:tcMar>
            <w:vAlign w:val="center"/>
          </w:tcPr>
          <w:p>
            <w:r>
              <w:rPr>
                <w:b/>
                <w:bCs/>
                <w:sz w:val="22"/>
                <w:szCs w:val="22"/>
              </w:rPr>
              <w:t xml:space="preserve">Integrations</w:t>
            </w:r>
          </w:p>
        </w:tc>
        <w:tc>
          <w:tcPr>
            <w:tcW w:type="dxa" w:w="700"/>
            <w:tcBorders>
              <w:top w:val="single" w:color="CCCCCC" w:sz="1"/>
              <w:left w:val="single" w:color="CCCCCC" w:sz="1"/>
              <w:bottom w:val="single" w:color="CCCCCC" w:sz="1"/>
              <w:right w:val="single" w:color="CCCCCC" w:sz="1"/>
            </w:tcBorders>
            <w:shd w:fill="F2F6FB" w:val="clear"/>
            <w:tcMar>
              <w:top w:type="dxa" w:w="90"/>
              <w:left w:type="dxa" w:w="130"/>
              <w:bottom w:type="dxa" w:w="90"/>
              <w:right w:type="dxa" w:w="130"/>
            </w:tcMar>
            <w:vAlign w:val="center"/>
          </w:tcPr>
          <w:p>
            <w:r>
              <w:rPr>
                <w:sz w:val="19"/>
                <w:szCs w:val="19"/>
              </w:rPr>
              <w:t xml:space="preserve">1</w:t>
            </w:r>
          </w:p>
        </w:tc>
        <w:tc>
          <w:tcPr>
            <w:tcW w:type="dxa" w:w="4860"/>
            <w:tcBorders>
              <w:top w:val="single" w:color="CCCCCC" w:sz="1"/>
              <w:left w:val="single" w:color="CCCCCC" w:sz="1"/>
              <w:bottom w:val="single" w:color="CCCCCC" w:sz="1"/>
              <w:right w:val="single" w:color="CCCCCC" w:sz="1"/>
            </w:tcBorders>
            <w:shd w:fill="F2F6FB" w:val="clear"/>
            <w:tcMar>
              <w:top w:type="dxa" w:w="90"/>
              <w:left w:type="dxa" w:w="130"/>
              <w:bottom w:type="dxa" w:w="90"/>
              <w:right w:type="dxa" w:w="130"/>
            </w:tcMar>
            <w:vAlign w:val="center"/>
          </w:tcPr>
          <w:p>
            <w:r>
              <w:rPr>
                <w:sz w:val="19"/>
                <w:szCs w:val="19"/>
              </w:rPr>
              <w:t xml:space="preserve">Per-customer connections to Jira, Git, Confluence, SharePoint, etc.</w:t>
            </w:r>
          </w:p>
        </w:tc>
      </w:tr>
      <w:tr>
        <w:tc>
          <w:tcPr>
            <w:tcW w:type="dxa" w:w="9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sz w:val="19"/>
                <w:szCs w:val="19"/>
              </w:rPr>
              <w:t xml:space="preserve">C</w:t>
            </w:r>
          </w:p>
        </w:tc>
        <w:tc>
          <w:tcPr>
            <w:tcW w:type="dxa" w:w="29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b/>
                <w:bCs/>
                <w:sz w:val="22"/>
                <w:szCs w:val="22"/>
              </w:rPr>
              <w:t xml:space="preserve">Chat &amp; Conversations</w:t>
            </w:r>
          </w:p>
        </w:tc>
        <w:tc>
          <w:tcPr>
            <w:tcW w:type="dxa" w:w="7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sz w:val="19"/>
                <w:szCs w:val="19"/>
              </w:rPr>
              <w:t xml:space="preserve">2</w:t>
            </w:r>
          </w:p>
        </w:tc>
        <w:tc>
          <w:tcPr>
            <w:tcW w:type="dxa" w:w="48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sz w:val="19"/>
                <w:szCs w:val="19"/>
              </w:rPr>
              <w:t xml:space="preserve">The conversational wizard history between users and the assistant.</w:t>
            </w:r>
          </w:p>
        </w:tc>
      </w:tr>
      <w:tr>
        <w:tc>
          <w:tcPr>
            <w:tcW w:type="dxa" w:w="900"/>
            <w:tcBorders>
              <w:top w:val="single" w:color="CCCCCC" w:sz="1"/>
              <w:left w:val="single" w:color="CCCCCC" w:sz="1"/>
              <w:bottom w:val="single" w:color="CCCCCC" w:sz="1"/>
              <w:right w:val="single" w:color="CCCCCC" w:sz="1"/>
            </w:tcBorders>
            <w:shd w:fill="F2F6FB" w:val="clear"/>
            <w:tcMar>
              <w:top w:type="dxa" w:w="90"/>
              <w:left w:type="dxa" w:w="130"/>
              <w:bottom w:type="dxa" w:w="90"/>
              <w:right w:type="dxa" w:w="130"/>
            </w:tcMar>
            <w:vAlign w:val="center"/>
          </w:tcPr>
          <w:p>
            <w:r>
              <w:rPr>
                <w:sz w:val="19"/>
                <w:szCs w:val="19"/>
              </w:rPr>
              <w:t xml:space="preserve">D</w:t>
            </w:r>
          </w:p>
        </w:tc>
        <w:tc>
          <w:tcPr>
            <w:tcW w:type="dxa" w:w="2900"/>
            <w:tcBorders>
              <w:top w:val="single" w:color="CCCCCC" w:sz="1"/>
              <w:left w:val="single" w:color="CCCCCC" w:sz="1"/>
              <w:bottom w:val="single" w:color="CCCCCC" w:sz="1"/>
              <w:right w:val="single" w:color="CCCCCC" w:sz="1"/>
            </w:tcBorders>
            <w:shd w:fill="F2F6FB" w:val="clear"/>
            <w:tcMar>
              <w:top w:type="dxa" w:w="90"/>
              <w:left w:type="dxa" w:w="130"/>
              <w:bottom w:type="dxa" w:w="90"/>
              <w:right w:type="dxa" w:w="130"/>
            </w:tcMar>
            <w:vAlign w:val="center"/>
          </w:tcPr>
          <w:p>
            <w:r>
              <w:rPr>
                <w:b/>
                <w:bCs/>
                <w:sz w:val="22"/>
                <w:szCs w:val="22"/>
              </w:rPr>
              <w:t xml:space="preserve">Test Authoring &amp; Execution</w:t>
            </w:r>
          </w:p>
        </w:tc>
        <w:tc>
          <w:tcPr>
            <w:tcW w:type="dxa" w:w="700"/>
            <w:tcBorders>
              <w:top w:val="single" w:color="CCCCCC" w:sz="1"/>
              <w:left w:val="single" w:color="CCCCCC" w:sz="1"/>
              <w:bottom w:val="single" w:color="CCCCCC" w:sz="1"/>
              <w:right w:val="single" w:color="CCCCCC" w:sz="1"/>
            </w:tcBorders>
            <w:shd w:fill="F2F6FB" w:val="clear"/>
            <w:tcMar>
              <w:top w:type="dxa" w:w="90"/>
              <w:left w:type="dxa" w:w="130"/>
              <w:bottom w:type="dxa" w:w="90"/>
              <w:right w:type="dxa" w:w="130"/>
            </w:tcMar>
            <w:vAlign w:val="center"/>
          </w:tcPr>
          <w:p>
            <w:r>
              <w:rPr>
                <w:sz w:val="19"/>
                <w:szCs w:val="19"/>
              </w:rPr>
              <w:t xml:space="preserve">4</w:t>
            </w:r>
          </w:p>
        </w:tc>
        <w:tc>
          <w:tcPr>
            <w:tcW w:type="dxa" w:w="4860"/>
            <w:tcBorders>
              <w:top w:val="single" w:color="CCCCCC" w:sz="1"/>
              <w:left w:val="single" w:color="CCCCCC" w:sz="1"/>
              <w:bottom w:val="single" w:color="CCCCCC" w:sz="1"/>
              <w:right w:val="single" w:color="CCCCCC" w:sz="1"/>
            </w:tcBorders>
            <w:shd w:fill="F2F6FB" w:val="clear"/>
            <w:tcMar>
              <w:top w:type="dxa" w:w="90"/>
              <w:left w:type="dxa" w:w="130"/>
              <w:bottom w:type="dxa" w:w="90"/>
              <w:right w:type="dxa" w:w="130"/>
            </w:tcMar>
            <w:vAlign w:val="center"/>
          </w:tcPr>
          <w:p>
            <w:r>
              <w:rPr>
                <w:sz w:val="19"/>
                <w:szCs w:val="19"/>
              </w:rPr>
              <w:t xml:space="preserve">Test runs, individual test cases, generated automation scripts, Jira links.</w:t>
            </w:r>
          </w:p>
        </w:tc>
      </w:tr>
      <w:tr>
        <w:tc>
          <w:tcPr>
            <w:tcW w:type="dxa" w:w="9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sz w:val="19"/>
                <w:szCs w:val="19"/>
              </w:rPr>
              <w:t xml:space="preserve">E</w:t>
            </w:r>
          </w:p>
        </w:tc>
        <w:tc>
          <w:tcPr>
            <w:tcW w:type="dxa" w:w="29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b/>
                <w:bCs/>
                <w:sz w:val="22"/>
                <w:szCs w:val="22"/>
              </w:rPr>
              <w:t xml:space="preserve">Pipeline Orchestration</w:t>
            </w:r>
          </w:p>
        </w:tc>
        <w:tc>
          <w:tcPr>
            <w:tcW w:type="dxa" w:w="7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sz w:val="19"/>
                <w:szCs w:val="19"/>
              </w:rPr>
              <w:t xml:space="preserve">9</w:t>
            </w:r>
          </w:p>
        </w:tc>
        <w:tc>
          <w:tcPr>
            <w:tcW w:type="dxa" w:w="48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sz w:val="19"/>
                <w:szCs w:val="19"/>
              </w:rPr>
              <w:t xml:space="preserve">The AI engine: runs, stage results, artifacts, the worker queue, page map, agent catalog.</w:t>
            </w:r>
          </w:p>
        </w:tc>
      </w:tr>
      <w:tr>
        <w:tc>
          <w:tcPr>
            <w:tcW w:type="dxa" w:w="900"/>
            <w:tcBorders>
              <w:top w:val="single" w:color="CCCCCC" w:sz="1"/>
              <w:left w:val="single" w:color="CCCCCC" w:sz="1"/>
              <w:bottom w:val="single" w:color="CCCCCC" w:sz="1"/>
              <w:right w:val="single" w:color="CCCCCC" w:sz="1"/>
            </w:tcBorders>
            <w:shd w:fill="F2F6FB" w:val="clear"/>
            <w:tcMar>
              <w:top w:type="dxa" w:w="90"/>
              <w:left w:type="dxa" w:w="130"/>
              <w:bottom w:type="dxa" w:w="90"/>
              <w:right w:type="dxa" w:w="130"/>
            </w:tcMar>
            <w:vAlign w:val="center"/>
          </w:tcPr>
          <w:p>
            <w:r>
              <w:rPr>
                <w:sz w:val="19"/>
                <w:szCs w:val="19"/>
              </w:rPr>
              <w:t xml:space="preserve">F</w:t>
            </w:r>
          </w:p>
        </w:tc>
        <w:tc>
          <w:tcPr>
            <w:tcW w:type="dxa" w:w="2900"/>
            <w:tcBorders>
              <w:top w:val="single" w:color="CCCCCC" w:sz="1"/>
              <w:left w:val="single" w:color="CCCCCC" w:sz="1"/>
              <w:bottom w:val="single" w:color="CCCCCC" w:sz="1"/>
              <w:right w:val="single" w:color="CCCCCC" w:sz="1"/>
            </w:tcBorders>
            <w:shd w:fill="F2F6FB" w:val="clear"/>
            <w:tcMar>
              <w:top w:type="dxa" w:w="90"/>
              <w:left w:type="dxa" w:w="130"/>
              <w:bottom w:type="dxa" w:w="90"/>
              <w:right w:type="dxa" w:w="130"/>
            </w:tcMar>
            <w:vAlign w:val="center"/>
          </w:tcPr>
          <w:p>
            <w:r>
              <w:rPr>
                <w:b/>
                <w:bCs/>
                <w:sz w:val="22"/>
                <w:szCs w:val="22"/>
              </w:rPr>
              <w:t xml:space="preserve">Test Data</w:t>
            </w:r>
          </w:p>
        </w:tc>
        <w:tc>
          <w:tcPr>
            <w:tcW w:type="dxa" w:w="700"/>
            <w:tcBorders>
              <w:top w:val="single" w:color="CCCCCC" w:sz="1"/>
              <w:left w:val="single" w:color="CCCCCC" w:sz="1"/>
              <w:bottom w:val="single" w:color="CCCCCC" w:sz="1"/>
              <w:right w:val="single" w:color="CCCCCC" w:sz="1"/>
            </w:tcBorders>
            <w:shd w:fill="F2F6FB" w:val="clear"/>
            <w:tcMar>
              <w:top w:type="dxa" w:w="90"/>
              <w:left w:type="dxa" w:w="130"/>
              <w:bottom w:type="dxa" w:w="90"/>
              <w:right w:type="dxa" w:w="130"/>
            </w:tcMar>
            <w:vAlign w:val="center"/>
          </w:tcPr>
          <w:p>
            <w:r>
              <w:rPr>
                <w:sz w:val="19"/>
                <w:szCs w:val="19"/>
              </w:rPr>
              <w:t xml:space="preserve">3</w:t>
            </w:r>
          </w:p>
        </w:tc>
        <w:tc>
          <w:tcPr>
            <w:tcW w:type="dxa" w:w="4860"/>
            <w:tcBorders>
              <w:top w:val="single" w:color="CCCCCC" w:sz="1"/>
              <w:left w:val="single" w:color="CCCCCC" w:sz="1"/>
              <w:bottom w:val="single" w:color="CCCCCC" w:sz="1"/>
              <w:right w:val="single" w:color="CCCCCC" w:sz="1"/>
            </w:tcBorders>
            <w:shd w:fill="F2F6FB" w:val="clear"/>
            <w:tcMar>
              <w:top w:type="dxa" w:w="90"/>
              <w:left w:type="dxa" w:w="130"/>
              <w:bottom w:type="dxa" w:w="90"/>
              <w:right w:type="dxa" w:w="130"/>
            </w:tcMar>
            <w:vAlign w:val="center"/>
          </w:tcPr>
          <w:p>
            <w:r>
              <w:rPr>
                <w:sz w:val="19"/>
                <w:szCs w:val="19"/>
              </w:rPr>
              <w:t xml:space="preserve">Reusable datasets and field values that drive data-aware tests.</w:t>
            </w:r>
          </w:p>
        </w:tc>
      </w:tr>
      <w:tr>
        <w:tc>
          <w:tcPr>
            <w:tcW w:type="dxa" w:w="9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sz w:val="19"/>
                <w:szCs w:val="19"/>
              </w:rPr>
              <w:t xml:space="preserve">G</w:t>
            </w:r>
          </w:p>
        </w:tc>
        <w:tc>
          <w:tcPr>
            <w:tcW w:type="dxa" w:w="29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b/>
                <w:bCs/>
                <w:sz w:val="22"/>
                <w:szCs w:val="22"/>
              </w:rPr>
              <w:t xml:space="preserve">Audit</w:t>
            </w:r>
          </w:p>
        </w:tc>
        <w:tc>
          <w:tcPr>
            <w:tcW w:type="dxa" w:w="7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sz w:val="19"/>
                <w:szCs w:val="19"/>
              </w:rPr>
              <w:t xml:space="preserve">1</w:t>
            </w:r>
          </w:p>
        </w:tc>
        <w:tc>
          <w:tcPr>
            <w:tcW w:type="dxa" w:w="48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sz w:val="19"/>
                <w:szCs w:val="19"/>
              </w:rPr>
              <w:t xml:space="preserve">An immutable log of who did what, for compliance.</w:t>
            </w:r>
          </w:p>
        </w:tc>
      </w:tr>
    </w:tbl>
    <w:p>
      <w:pPr>
        <w:spacing w:after="60"/>
      </w:pPr>
    </w:p>
    <w:p>
      <w:pPr>
        <w:spacing w:after="120"/>
      </w:pPr>
      <w:r>
        <w:rPr>
          <w:b/>
          <w:bCs/>
          <w:sz w:val="22"/>
          <w:szCs w:val="22"/>
        </w:rPr>
        <w:t xml:space="preserve">The hub-and-spoke design: </w:t>
      </w:r>
      <w:r>
        <w:rPr>
          <w:sz w:val="22"/>
          <w:szCs w:val="22"/>
        </w:rPr>
        <w:t xml:space="preserve">the </w:t>
      </w:r>
      <w:r>
        <w:rPr>
          <w:b/>
          <w:bCs/>
          <w:sz w:val="22"/>
          <w:szCs w:val="22"/>
        </w:rPr>
        <w:t xml:space="preserve">tenants</w:t>
      </w:r>
      <w:r>
        <w:rPr>
          <w:sz w:val="22"/>
          <w:szCs w:val="22"/>
        </w:rPr>
        <w:t xml:space="preserve"> table sits at the centre of the business data (everything is owned by a customer), and </w:t>
      </w:r>
      <w:r>
        <w:rPr>
          <w:b/>
          <w:bCs/>
          <w:sz w:val="22"/>
          <w:szCs w:val="22"/>
        </w:rPr>
        <w:t xml:space="preserve">qa_pipeline_runs</w:t>
      </w:r>
      <w:r>
        <w:rPr>
          <w:sz w:val="22"/>
          <w:szCs w:val="22"/>
        </w:rPr>
        <w:t xml:space="preserve"> is the hub of the AI engine (stages, artifacts, tasks and test data all trace back to a run). This is visible in the diagram as the two tables with the most connecting lines.</w:t>
      </w:r>
    </w:p>
    <w:p>
      <w:pPr>
        <w:pStyle w:val="Heading1"/>
      </w:pPr>
      <w:r>
        <w:t xml:space="preserve">6.  Security, Compliance &amp; Multi-Tenancy</w:t>
      </w:r>
    </w:p>
    <w:p>
      <w:pPr>
        <w:pStyle w:val="ListParagraph"/>
        <w:numPr>
          <w:ilvl w:val="0"/>
          <w:numId w:val="2"/>
        </w:numPr>
        <w:spacing w:after="60"/>
      </w:pPr>
      <w:r>
        <w:rPr>
          <w:b/>
          <w:bCs/>
          <w:sz w:val="22"/>
          <w:szCs w:val="22"/>
        </w:rPr>
        <w:t xml:space="preserve">Tenant isolation </w:t>
      </w:r>
      <w:r>
        <w:rPr>
          <w:sz w:val="22"/>
          <w:szCs w:val="22"/>
        </w:rPr>
        <w:t xml:space="preserve">— every business record carries a tenant_id, so one customer can never see another’s data.</w:t>
      </w:r>
    </w:p>
    <w:p>
      <w:pPr>
        <w:pStyle w:val="ListParagraph"/>
        <w:numPr>
          <w:ilvl w:val="0"/>
          <w:numId w:val="2"/>
        </w:numPr>
        <w:spacing w:after="60"/>
      </w:pPr>
      <w:r>
        <w:rPr>
          <w:b/>
          <w:bCs/>
          <w:sz w:val="22"/>
          <w:szCs w:val="22"/>
        </w:rPr>
        <w:t xml:space="preserve">Encryption at rest </w:t>
      </w:r>
      <w:r>
        <w:rPr>
          <w:sz w:val="22"/>
          <w:szCs w:val="22"/>
        </w:rPr>
        <w:t xml:space="preserve">— sensitive fields (API keys, passwords, integration credentials, Jira tokens) are encrypted in the database, shown with a lock icon in the diagram.</w:t>
      </w:r>
    </w:p>
    <w:p>
      <w:pPr>
        <w:pStyle w:val="ListParagraph"/>
        <w:numPr>
          <w:ilvl w:val="0"/>
          <w:numId w:val="2"/>
        </w:numPr>
        <w:spacing w:after="60"/>
      </w:pPr>
      <w:r>
        <w:rPr>
          <w:b/>
          <w:bCs/>
          <w:sz w:val="22"/>
          <w:szCs w:val="22"/>
        </w:rPr>
        <w:t xml:space="preserve">Role-based access </w:t>
      </w:r>
      <w:r>
        <w:rPr>
          <w:sz w:val="22"/>
          <w:szCs w:val="22"/>
        </w:rPr>
        <w:t xml:space="preserve">— users are admins, QA engineers, or data analysts, each with appropriate permissions.</w:t>
      </w:r>
    </w:p>
    <w:p>
      <w:pPr>
        <w:pStyle w:val="ListParagraph"/>
        <w:numPr>
          <w:ilvl w:val="0"/>
          <w:numId w:val="2"/>
        </w:numPr>
        <w:spacing w:after="60"/>
      </w:pPr>
      <w:r>
        <w:rPr>
          <w:b/>
          <w:bCs/>
          <w:sz w:val="22"/>
          <w:szCs w:val="22"/>
        </w:rPr>
        <w:t xml:space="preserve">Full audit trail </w:t>
      </w:r>
      <w:r>
        <w:rPr>
          <w:sz w:val="22"/>
          <w:szCs w:val="22"/>
        </w:rPr>
        <w:t xml:space="preserve">— the audit_log records every action with a per-request identifier, supporting HIPAA-style compliance reviews.</w:t>
      </w:r>
    </w:p>
    <w:p>
      <w:pPr>
        <w:pStyle w:val="Heading1"/>
      </w:pPr>
      <w:r>
        <w:t xml:space="preserve">7.  Reusing the Schema for a New Customer</w:t>
      </w:r>
    </w:p>
    <w:p>
      <w:pPr>
        <w:spacing w:after="120"/>
      </w:pPr>
      <w:r>
        <w:rPr>
          <w:sz w:val="22"/>
          <w:szCs w:val="22"/>
        </w:rPr>
        <w:t xml:space="preserve">Because the schema is cleanly defined and self-contained, standing it up for a new customer is straightforward. A ready-to-run, customer-neutral </w:t>
      </w:r>
      <w:r>
        <w:rPr>
          <w:b/>
          <w:bCs/>
          <w:sz w:val="22"/>
          <w:szCs w:val="22"/>
        </w:rPr>
        <w:t xml:space="preserve">database skeleton</w:t>
      </w:r>
      <w:r>
        <w:rPr>
          <w:sz w:val="22"/>
          <w:szCs w:val="22"/>
        </w:rPr>
        <w:t xml:space="preserve"> has been prepared — it creates all 22 tables and their indexes, with no JBS-specific data or credentials.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FFFFFF" w:sz="1"/>
              <w:left w:val="single" w:color="FFFFFF" w:sz="1"/>
              <w:bottom w:val="single" w:color="FFFFFF" w:sz="1"/>
              <w:right w:val="single" w:color="FFFFFF" w:sz="1"/>
            </w:tcBorders>
            <w:shd w:fill="1F4E79" w:val="clear"/>
            <w:tcMar>
              <w:top w:type="dxa" w:w="90"/>
              <w:left w:type="dxa" w:w="130"/>
              <w:bottom w:type="dxa" w:w="90"/>
              <w:right w:type="dxa" w:w="130"/>
            </w:tcMar>
            <w:vAlign w:val="center"/>
          </w:tcPr>
          <w:p>
            <w:r>
              <w:rPr>
                <w:b/>
                <w:bCs/>
                <w:color w:val="FFFFFF"/>
                <w:sz w:val="19"/>
                <w:szCs w:val="19"/>
              </w:rPr>
              <w:t xml:space="preserve">Deliverable</w:t>
            </w:r>
          </w:p>
        </w:tc>
        <w:tc>
          <w:tcPr>
            <w:tcW w:type="dxa" w:w="5960"/>
            <w:tcBorders>
              <w:top w:val="single" w:color="FFFFFF" w:sz="1"/>
              <w:left w:val="single" w:color="FFFFFF" w:sz="1"/>
              <w:bottom w:val="single" w:color="FFFFFF" w:sz="1"/>
              <w:right w:val="single" w:color="FFFFFF" w:sz="1"/>
            </w:tcBorders>
            <w:shd w:fill="1F4E79" w:val="clear"/>
            <w:tcMar>
              <w:top w:type="dxa" w:w="90"/>
              <w:left w:type="dxa" w:w="130"/>
              <w:bottom w:type="dxa" w:w="90"/>
              <w:right w:type="dxa" w:w="130"/>
            </w:tcMar>
            <w:vAlign w:val="center"/>
          </w:tcPr>
          <w:p>
            <w:r>
              <w:rPr>
                <w:b/>
                <w:bCs/>
                <w:color w:val="FFFFFF"/>
                <w:sz w:val="19"/>
                <w:szCs w:val="19"/>
              </w:rPr>
              <w:t xml:space="preserve">Purpose</w:t>
            </w:r>
          </w:p>
        </w:tc>
      </w:tr>
      <w:tr>
        <w:tc>
          <w:tcPr>
            <w:tcW w:type="dxa" w:w="3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b/>
                <w:bCs/>
                <w:sz w:val="22"/>
                <w:szCs w:val="22"/>
              </w:rPr>
              <w:t xml:space="preserve">customer-skeleton.sql</w:t>
            </w:r>
          </w:p>
        </w:tc>
        <w:tc>
          <w:tcPr>
            <w:tcW w:type="dxa" w:w="59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sz w:val="19"/>
                <w:szCs w:val="19"/>
              </w:rPr>
              <w:t xml:space="preserve">One-shot script to create the entire schema in a customer’s own PostgreSQL database. Idempotent and safe to re-run.</w:t>
            </w:r>
          </w:p>
        </w:tc>
      </w:tr>
      <w:tr>
        <w:tc>
          <w:tcPr>
            <w:tcW w:type="dxa" w:w="3400"/>
            <w:tcBorders>
              <w:top w:val="single" w:color="CCCCCC" w:sz="1"/>
              <w:left w:val="single" w:color="CCCCCC" w:sz="1"/>
              <w:bottom w:val="single" w:color="CCCCCC" w:sz="1"/>
              <w:right w:val="single" w:color="CCCCCC" w:sz="1"/>
            </w:tcBorders>
            <w:shd w:fill="F2F6FB" w:val="clear"/>
            <w:tcMar>
              <w:top w:type="dxa" w:w="90"/>
              <w:left w:type="dxa" w:w="130"/>
              <w:bottom w:type="dxa" w:w="90"/>
              <w:right w:type="dxa" w:w="130"/>
            </w:tcMar>
            <w:vAlign w:val="center"/>
          </w:tcPr>
          <w:p>
            <w:r>
              <w:rPr>
                <w:b/>
                <w:bCs/>
                <w:sz w:val="22"/>
                <w:szCs w:val="22"/>
              </w:rPr>
              <w:t xml:space="preserve">DATABASE_SCHEMA.md</w:t>
            </w:r>
          </w:p>
        </w:tc>
        <w:tc>
          <w:tcPr>
            <w:tcW w:type="dxa" w:w="5960"/>
            <w:tcBorders>
              <w:top w:val="single" w:color="CCCCCC" w:sz="1"/>
              <w:left w:val="single" w:color="CCCCCC" w:sz="1"/>
              <w:bottom w:val="single" w:color="CCCCCC" w:sz="1"/>
              <w:right w:val="single" w:color="CCCCCC" w:sz="1"/>
            </w:tcBorders>
            <w:shd w:fill="F2F6FB" w:val="clear"/>
            <w:tcMar>
              <w:top w:type="dxa" w:w="90"/>
              <w:left w:type="dxa" w:w="130"/>
              <w:bottom w:type="dxa" w:w="90"/>
              <w:right w:type="dxa" w:w="130"/>
            </w:tcMar>
            <w:vAlign w:val="center"/>
          </w:tcPr>
          <w:p>
            <w:r>
              <w:rPr>
                <w:sz w:val="19"/>
                <w:szCs w:val="19"/>
              </w:rPr>
              <w:t xml:space="preserve">Plain-language documentation of every table and column, with sensitivity classification — for security and compliance reviewers.</w:t>
            </w:r>
          </w:p>
        </w:tc>
      </w:tr>
      <w:tr>
        <w:tc>
          <w:tcPr>
            <w:tcW w:type="dxa" w:w="3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b/>
                <w:bCs/>
                <w:sz w:val="22"/>
                <w:szCs w:val="22"/>
              </w:rPr>
              <w:t xml:space="preserve">backend/src/db.ts</w:t>
            </w:r>
          </w:p>
        </w:tc>
        <w:tc>
          <w:tcPr>
            <w:tcW w:type="dxa" w:w="59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sz w:val="19"/>
                <w:szCs w:val="19"/>
              </w:rPr>
              <w:t xml:space="preserve">The live source of truth in code; the SQL files are kept in lock-step with it.</w:t>
            </w:r>
          </w:p>
        </w:tc>
      </w:tr>
    </w:tbl>
    <w:p>
      <w:pPr>
        <w:spacing w:after="60"/>
      </w:pPr>
    </w:p>
    <w:p>
      <w:pPr>
        <w:spacing w:after="120"/>
      </w:pPr>
      <w:r>
        <w:rPr>
          <w:b/>
          <w:bCs/>
          <w:sz w:val="22"/>
          <w:szCs w:val="22"/>
        </w:rPr>
        <w:t xml:space="preserve">To onboard a customer: </w:t>
      </w:r>
      <w:r>
        <w:rPr>
          <w:sz w:val="22"/>
          <w:szCs w:val="22"/>
        </w:rPr>
        <w:t xml:space="preserve">(1) run the skeleton against an empty database; (2) insert the customer’s own organization and first admin user; (3) set a unique encryption key. No code changes are required.</w:t>
      </w:r>
    </w:p>
    <w:p>
      <w:pPr>
        <w:spacing w:after="120"/>
      </w:pPr>
    </w:p>
    <w:p>
      <w:pPr>
        <w:pBdr>
          <w:top w:val="single" w:color="CCCCCC" w:sz="4" w:space="6"/>
        </w:pBdr>
        <w:spacing w:before="200"/>
      </w:pPr>
      <w:r>
        <w:rPr>
          <w:i/>
          <w:iCs/>
          <w:color w:val="55636E"/>
          <w:sz w:val="18"/>
          <w:szCs w:val="18"/>
        </w:rPr>
        <w:t xml:space="preserve">Source files: backend/db/seed/customer-skeleton.sql  ·  docs/DATABASE_SCHEMA.md  ·  backend/src/db.ts</w:t>
      </w:r>
    </w:p>
    <w:sectPr>
      <w:footerReference w:type="default" r:id="rId9"/>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color w:val="55636E"/>
        <w:sz w:val="16"/>
        <w:szCs w:val="16"/>
      </w:rPr>
      <w:t xml:space="preserve">JBSIntelliQE — Architecture &amp; Data Model Overview  |  Confidential</w:t>
    </w:r>
    <w:r>
      <w:rPr>
        <w:color w:val="55636E"/>
        <w:sz w:val="16"/>
        <w:szCs w:val="16"/>
      </w:rPr>
      <w:t xml:space="preserve">	Page </w:t>
    </w:r>
    <w:r>
      <w:rPr>
        <w:color w:val="55636E"/>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color w:val="55636E"/>
        <w:sz w:val="16"/>
        <w:szCs w:val="16"/>
      </w:rPr>
      <w:t xml:space="preserve">JBSIntelliQE — Architecture &amp; Data Model Overview  |  Confidential</w:t>
    </w:r>
    <w:r>
      <w:rPr>
        <w:color w:val="55636E"/>
        <w:sz w:val="16"/>
        <w:szCs w:val="16"/>
      </w:rPr>
      <w:t xml:space="preserve">	Page </w:t>
    </w:r>
    <w:r>
      <w:rPr>
        <w:color w:val="55636E"/>
        <w:sz w:val="16"/>
        <w:szCs w:val="16"/>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color w:val="55636E"/>
        <w:sz w:val="16"/>
        <w:szCs w:val="16"/>
      </w:rPr>
      <w:t xml:space="preserve">JBSIntelliQE — Architecture &amp; Data Model Overview  |  Confidential</w:t>
    </w:r>
    <w:r>
      <w:rPr>
        <w:color w:val="55636E"/>
        <w:sz w:val="16"/>
        <w:szCs w:val="16"/>
      </w:rPr>
      <w:t xml:space="preserve">	Page </w:t>
    </w:r>
    <w:r>
      <w:rPr>
        <w:color w:val="55636E"/>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6" w:space="4"/>
      </w:pBdr>
      <w:spacing w:after="140" w:before="280"/>
      <w:outlineLvl w:val="0"/>
    </w:pPr>
    <w:rPr>
      <w:rFonts w:ascii="Arial" w:cs="Arial" w:eastAsia="Arial" w:hAnsi="Arial"/>
      <w:b/>
      <w:bCs/>
      <w:color w:val="1F4E79"/>
      <w:sz w:val="30"/>
      <w:szCs w:val="30"/>
    </w:rPr>
  </w:style>
  <w:style w:type="paragraph" w:styleId="Heading2">
    <w:name w:val="Heading 2"/>
    <w:basedOn w:val="Normal"/>
    <w:next w:val="Normal"/>
    <w:qFormat/>
    <w:pPr>
      <w:spacing w:after="100" w:before="20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image" Target="media/04df6e6e8957e96794c87048837e55370d8df147.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2026-06-10T18:18:09.015Z</dcterms:created>
  <dcterms:modified xsi:type="dcterms:W3CDTF">2026-06-10T18:18:09.016Z</dcterms:modified>
</cp:coreProperties>
</file>

<file path=docProps/custom.xml><?xml version="1.0" encoding="utf-8"?>
<Properties xmlns="http://schemas.openxmlformats.org/officeDocument/2006/custom-properties" xmlns:vt="http://schemas.openxmlformats.org/officeDocument/2006/docPropsVTypes"/>
</file>